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D4004" w14:textId="77777777" w:rsidR="00D46E5D" w:rsidRDefault="00D46E5D" w:rsidP="00D46E5D">
      <w:pPr>
        <w:jc w:val="right"/>
        <w:rPr>
          <w:sz w:val="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3"/>
        <w:gridCol w:w="3400"/>
        <w:gridCol w:w="2408"/>
        <w:gridCol w:w="2319"/>
        <w:gridCol w:w="1790"/>
      </w:tblGrid>
      <w:tr w:rsidR="00D46E5D" w14:paraId="6317537E" w14:textId="77777777" w:rsidTr="00E21E39">
        <w:trPr>
          <w:trHeight w:val="1136"/>
        </w:trPr>
        <w:tc>
          <w:tcPr>
            <w:tcW w:w="1473" w:type="dxa"/>
            <w:tcBorders>
              <w:bottom w:val="single" w:sz="4" w:space="0" w:color="808080"/>
            </w:tcBorders>
            <w:shd w:val="clear" w:color="auto" w:fill="auto"/>
          </w:tcPr>
          <w:p w14:paraId="73CD9DC9" w14:textId="77777777" w:rsidR="00D46E5D" w:rsidRDefault="00D46E5D" w:rsidP="00E21E39">
            <w:pPr>
              <w:pStyle w:val="Intestazione"/>
              <w:tabs>
                <w:tab w:val="clear" w:pos="4819"/>
                <w:tab w:val="clear" w:pos="9638"/>
              </w:tabs>
              <w:jc w:val="center"/>
            </w:pPr>
            <w:r>
              <w:rPr>
                <w:rFonts w:ascii="Arial Narrow" w:hAnsi="Arial Narrow" w:cs="Arial Narrow"/>
                <w:noProof/>
                <w:color w:val="008000"/>
                <w:szCs w:val="21"/>
                <w:lang w:eastAsia="it-IT"/>
              </w:rPr>
              <w:drawing>
                <wp:inline distT="0" distB="0" distL="0" distR="0" wp14:anchorId="60B7877F" wp14:editId="7BD60D7E">
                  <wp:extent cx="733425" cy="742950"/>
                  <wp:effectExtent l="0" t="0" r="0" b="0"/>
                  <wp:docPr id="29012997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tcBorders>
              <w:bottom w:val="single" w:sz="4" w:space="0" w:color="808080"/>
            </w:tcBorders>
            <w:shd w:val="clear" w:color="auto" w:fill="auto"/>
          </w:tcPr>
          <w:p w14:paraId="322B1B09" w14:textId="77777777" w:rsidR="00D46E5D" w:rsidRDefault="00D46E5D" w:rsidP="00E21E39">
            <w:pPr>
              <w:jc w:val="center"/>
            </w:pPr>
            <w:r>
              <w:rPr>
                <w:noProof/>
                <w:szCs w:val="19"/>
                <w:lang w:eastAsia="it-IT"/>
              </w:rPr>
              <w:drawing>
                <wp:inline distT="0" distB="0" distL="0" distR="0" wp14:anchorId="5DD08C5D" wp14:editId="103BEAC8">
                  <wp:extent cx="2076138" cy="434340"/>
                  <wp:effectExtent l="0" t="0" r="0" b="0"/>
                  <wp:docPr id="13169219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926" cy="4393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bottom w:val="single" w:sz="4" w:space="0" w:color="808080"/>
            </w:tcBorders>
            <w:shd w:val="clear" w:color="auto" w:fill="auto"/>
          </w:tcPr>
          <w:p w14:paraId="3AB8FB37" w14:textId="77777777" w:rsidR="00D46E5D" w:rsidRDefault="00D46E5D" w:rsidP="00E21E39">
            <w:pPr>
              <w:jc w:val="center"/>
            </w:pPr>
          </w:p>
        </w:tc>
        <w:tc>
          <w:tcPr>
            <w:tcW w:w="2319" w:type="dxa"/>
            <w:tcBorders>
              <w:bottom w:val="single" w:sz="4" w:space="0" w:color="808080"/>
            </w:tcBorders>
            <w:shd w:val="clear" w:color="auto" w:fill="auto"/>
          </w:tcPr>
          <w:p w14:paraId="658A49BD" w14:textId="77777777" w:rsidR="00D46E5D" w:rsidRDefault="007661C1" w:rsidP="00E21E39">
            <w:pPr>
              <w:ind w:right="-70"/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9264" behindDoc="0" locked="0" layoutInCell="1" allowOverlap="1" wp14:anchorId="03EC247D" wp14:editId="15407AF2">
                  <wp:simplePos x="0" y="0"/>
                  <wp:positionH relativeFrom="column">
                    <wp:posOffset>281586</wp:posOffset>
                  </wp:positionH>
                  <wp:positionV relativeFrom="paragraph">
                    <wp:posOffset>0</wp:posOffset>
                  </wp:positionV>
                  <wp:extent cx="789305" cy="559435"/>
                  <wp:effectExtent l="0" t="0" r="0" b="0"/>
                  <wp:wrapTopAndBottom/>
                  <wp:docPr id="105620022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559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46E5D">
              <w:rPr>
                <w:rFonts w:ascii="Haettenschweiler" w:hAnsi="Haettenschweiler" w:cs="Haettenschweiler"/>
                <w:spacing w:val="10"/>
                <w:szCs w:val="21"/>
              </w:rPr>
              <w:t>Unione Inquilini</w:t>
            </w:r>
          </w:p>
        </w:tc>
        <w:tc>
          <w:tcPr>
            <w:tcW w:w="1790" w:type="dxa"/>
            <w:tcBorders>
              <w:bottom w:val="single" w:sz="4" w:space="0" w:color="808080"/>
            </w:tcBorders>
            <w:shd w:val="clear" w:color="auto" w:fill="auto"/>
          </w:tcPr>
          <w:p w14:paraId="053BD2EC" w14:textId="77777777" w:rsidR="00D46E5D" w:rsidRDefault="00D46E5D" w:rsidP="00E21E39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</w:tbl>
    <w:p w14:paraId="10EAE59D" w14:textId="77777777" w:rsidR="00E81856" w:rsidRPr="00FF3F8B" w:rsidRDefault="00FD1B78" w:rsidP="005354DC">
      <w:pPr>
        <w:jc w:val="center"/>
        <w:rPr>
          <w:rFonts w:ascii="Book Antiqua" w:hAnsi="Book Antiqua" w:cs="Arial"/>
          <w:b/>
          <w:caps/>
          <w:sz w:val="28"/>
          <w:szCs w:val="28"/>
        </w:rPr>
      </w:pPr>
      <w:r w:rsidRPr="00FF3F8B">
        <w:rPr>
          <w:rFonts w:ascii="Book Antiqua" w:hAnsi="Book Antiqua" w:cs="Arial"/>
          <w:b/>
          <w:caps/>
          <w:sz w:val="28"/>
          <w:szCs w:val="28"/>
        </w:rPr>
        <w:t>Comunicato stampa</w:t>
      </w:r>
    </w:p>
    <w:p w14:paraId="1E776D89" w14:textId="13606407" w:rsidR="005354DC" w:rsidRPr="00E7345A" w:rsidRDefault="00F523BB" w:rsidP="00E7345A">
      <w:pPr>
        <w:jc w:val="both"/>
        <w:rPr>
          <w:rFonts w:ascii="Book Antiqua" w:hAnsi="Book Antiqua" w:cs="Arial"/>
          <w:b/>
          <w:caps/>
          <w:sz w:val="24"/>
          <w:szCs w:val="24"/>
        </w:rPr>
      </w:pPr>
      <w:r w:rsidRPr="00E7345A">
        <w:rPr>
          <w:rFonts w:ascii="Book Antiqua" w:hAnsi="Book Antiqua" w:cs="Arial"/>
          <w:b/>
          <w:caps/>
          <w:sz w:val="24"/>
          <w:szCs w:val="24"/>
        </w:rPr>
        <w:t>pio albergo trivulzio: firmato l’accordo con invimit sul rinnovo dei contratti di affitto degli stabili conferiti</w:t>
      </w:r>
      <w:r w:rsidR="005A292D" w:rsidRPr="00E7345A">
        <w:rPr>
          <w:rFonts w:ascii="Book Antiqua" w:hAnsi="Book Antiqua" w:cs="Arial"/>
          <w:b/>
          <w:caps/>
          <w:sz w:val="24"/>
          <w:szCs w:val="24"/>
        </w:rPr>
        <w:t xml:space="preserve"> </w:t>
      </w:r>
      <w:r w:rsidR="005A292D" w:rsidRPr="00E7345A">
        <w:rPr>
          <w:rFonts w:ascii="Book Antiqua" w:hAnsi="Book Antiqua" w:cs="Arial"/>
          <w:b/>
          <w:caps/>
          <w:color w:val="000000" w:themeColor="text1"/>
          <w:sz w:val="24"/>
          <w:szCs w:val="24"/>
        </w:rPr>
        <w:t>A INVIMIT</w:t>
      </w:r>
      <w:r w:rsidRPr="00E7345A">
        <w:rPr>
          <w:rFonts w:ascii="Book Antiqua" w:hAnsi="Book Antiqua" w:cs="Arial"/>
          <w:b/>
          <w:caps/>
          <w:sz w:val="24"/>
          <w:szCs w:val="24"/>
        </w:rPr>
        <w:t>.</w:t>
      </w:r>
      <w:r w:rsidR="005A292D" w:rsidRPr="00E7345A">
        <w:rPr>
          <w:rFonts w:ascii="Book Antiqua" w:hAnsi="Book Antiqua" w:cs="Arial"/>
          <w:b/>
          <w:caps/>
          <w:sz w:val="24"/>
          <w:szCs w:val="24"/>
        </w:rPr>
        <w:t xml:space="preserve"> </w:t>
      </w:r>
    </w:p>
    <w:p w14:paraId="66B1EEC5" w14:textId="0E3B48B1" w:rsidR="00EA3DE3" w:rsidRPr="00E7345A" w:rsidRDefault="00611D1E" w:rsidP="00E7345A">
      <w:pPr>
        <w:jc w:val="both"/>
        <w:rPr>
          <w:rFonts w:ascii="Book Antiqua" w:hAnsi="Book Antiqua" w:cs="Arial"/>
          <w:b/>
          <w:caps/>
          <w:sz w:val="24"/>
          <w:szCs w:val="24"/>
        </w:rPr>
      </w:pPr>
      <w:r w:rsidRPr="00E7345A">
        <w:rPr>
          <w:rFonts w:ascii="Book Antiqua" w:hAnsi="Book Antiqua" w:cs="Arial"/>
          <w:b/>
          <w:caps/>
          <w:sz w:val="24"/>
          <w:szCs w:val="24"/>
        </w:rPr>
        <w:t>tutelati gli inquilini degli stabili conferiti a invimit ora tocca al pat AVVIARE LE TRATTATIVE SUL RESTO DEL PATRIMONIO</w:t>
      </w:r>
      <w:r w:rsidR="00E7345A">
        <w:rPr>
          <w:rFonts w:ascii="Book Antiqua" w:hAnsi="Book Antiqua" w:cs="Arial"/>
          <w:b/>
          <w:caps/>
          <w:sz w:val="24"/>
          <w:szCs w:val="24"/>
        </w:rPr>
        <w:t>.</w:t>
      </w:r>
    </w:p>
    <w:p w14:paraId="5321D8C7" w14:textId="77777777" w:rsidR="00565983" w:rsidRDefault="00891AC1" w:rsidP="00EA73B3">
      <w:pPr>
        <w:jc w:val="both"/>
        <w:rPr>
          <w:rFonts w:ascii="Book Antiqua" w:hAnsi="Book Antiqua" w:cs="Arial"/>
          <w:bCs/>
          <w:sz w:val="24"/>
          <w:szCs w:val="24"/>
        </w:rPr>
      </w:pPr>
      <w:r w:rsidRPr="00E7345A">
        <w:rPr>
          <w:rFonts w:ascii="Book Antiqua" w:hAnsi="Book Antiqua" w:cs="Arial"/>
          <w:b/>
          <w:sz w:val="24"/>
          <w:szCs w:val="24"/>
        </w:rPr>
        <w:t>Milano 30 giugno 2025</w:t>
      </w:r>
      <w:r w:rsidRPr="00FF3F8B">
        <w:rPr>
          <w:rFonts w:ascii="Book Antiqua" w:hAnsi="Book Antiqua" w:cs="Arial"/>
          <w:bCs/>
          <w:sz w:val="24"/>
          <w:szCs w:val="24"/>
        </w:rPr>
        <w:t xml:space="preserve"> - Questa mattina presso la sede di Invimit a Milano, i sindacati inquilini, Sunia</w:t>
      </w:r>
      <w:r w:rsidR="00FF3F8B" w:rsidRPr="00FF3F8B">
        <w:rPr>
          <w:rFonts w:ascii="Book Antiqua" w:hAnsi="Book Antiqua" w:cs="Arial"/>
          <w:bCs/>
          <w:sz w:val="24"/>
          <w:szCs w:val="24"/>
        </w:rPr>
        <w:t>,</w:t>
      </w:r>
      <w:r w:rsidR="00BF1DD3">
        <w:rPr>
          <w:rFonts w:ascii="Book Antiqua" w:hAnsi="Book Antiqua" w:cs="Arial"/>
          <w:bCs/>
          <w:sz w:val="24"/>
          <w:szCs w:val="24"/>
        </w:rPr>
        <w:t xml:space="preserve"> Sicet e</w:t>
      </w:r>
      <w:r w:rsidRPr="00FF3F8B">
        <w:rPr>
          <w:rFonts w:ascii="Book Antiqua" w:hAnsi="Book Antiqua" w:cs="Arial"/>
          <w:bCs/>
          <w:sz w:val="24"/>
          <w:szCs w:val="24"/>
        </w:rPr>
        <w:t xml:space="preserve"> Unione Inquilini, hanno firmato con la SGR</w:t>
      </w:r>
      <w:r w:rsidR="00FF3F8B" w:rsidRPr="00FF3F8B">
        <w:rPr>
          <w:rFonts w:ascii="Book Antiqua" w:hAnsi="Book Antiqua" w:cs="Arial"/>
          <w:bCs/>
          <w:sz w:val="24"/>
          <w:szCs w:val="24"/>
        </w:rPr>
        <w:t>,</w:t>
      </w:r>
      <w:r w:rsidRPr="00FF3F8B">
        <w:rPr>
          <w:rFonts w:ascii="Book Antiqua" w:hAnsi="Book Antiqua" w:cs="Arial"/>
          <w:bCs/>
          <w:sz w:val="24"/>
          <w:szCs w:val="24"/>
        </w:rPr>
        <w:t xml:space="preserve"> partecipata dal MEF, l’accordo sul rinnovo dei contratti di affitto per inquilini degli stabili conferiti a questo </w:t>
      </w:r>
      <w:r w:rsidR="005A292D" w:rsidRPr="00FF3F8B">
        <w:rPr>
          <w:rFonts w:ascii="Book Antiqua" w:hAnsi="Book Antiqua" w:cs="Arial"/>
          <w:bCs/>
          <w:sz w:val="24"/>
          <w:szCs w:val="24"/>
        </w:rPr>
        <w:t>fondo dal Pio Albergo Trivulzio.</w:t>
      </w:r>
      <w:r w:rsidR="00FF3F8B" w:rsidRPr="00FF3F8B">
        <w:rPr>
          <w:rFonts w:ascii="Book Antiqua" w:hAnsi="Book Antiqua" w:cs="Arial"/>
          <w:bCs/>
          <w:sz w:val="24"/>
          <w:szCs w:val="24"/>
        </w:rPr>
        <w:t xml:space="preserve"> </w:t>
      </w:r>
    </w:p>
    <w:p w14:paraId="548622A2" w14:textId="77777777" w:rsidR="00565983" w:rsidRDefault="00BF1DD3" w:rsidP="00EA73B3">
      <w:pPr>
        <w:jc w:val="both"/>
        <w:rPr>
          <w:rFonts w:ascii="Book Antiqua" w:hAnsi="Book Antiqua" w:cs="Arial"/>
          <w:bCs/>
          <w:sz w:val="24"/>
          <w:szCs w:val="24"/>
        </w:rPr>
      </w:pPr>
      <w:r w:rsidRPr="00FF3F8B">
        <w:rPr>
          <w:rFonts w:ascii="Book Antiqua" w:hAnsi="Book Antiqua" w:cs="Arial"/>
          <w:bCs/>
          <w:sz w:val="24"/>
          <w:szCs w:val="24"/>
        </w:rPr>
        <w:t>L’</w:t>
      </w:r>
      <w:r w:rsidR="00DD14A9" w:rsidRPr="00FF3F8B">
        <w:rPr>
          <w:rFonts w:ascii="Book Antiqua" w:hAnsi="Book Antiqua" w:cs="Arial"/>
          <w:bCs/>
          <w:sz w:val="24"/>
          <w:szCs w:val="24"/>
        </w:rPr>
        <w:t xml:space="preserve">accordo riguarda </w:t>
      </w:r>
      <w:r w:rsidR="00AE4722" w:rsidRPr="00FF3F8B">
        <w:rPr>
          <w:rFonts w:ascii="Book Antiqua" w:hAnsi="Book Antiqua" w:cs="Arial"/>
          <w:bCs/>
          <w:sz w:val="24"/>
          <w:szCs w:val="24"/>
        </w:rPr>
        <w:t xml:space="preserve">i </w:t>
      </w:r>
      <w:r w:rsidRPr="00FF3F8B">
        <w:rPr>
          <w:rFonts w:ascii="Book Antiqua" w:hAnsi="Book Antiqua" w:cs="Arial"/>
          <w:bCs/>
          <w:sz w:val="24"/>
          <w:szCs w:val="24"/>
        </w:rPr>
        <w:t>nove</w:t>
      </w:r>
      <w:r w:rsidR="005A292D" w:rsidRPr="00FF3F8B">
        <w:rPr>
          <w:rFonts w:ascii="Book Antiqua" w:hAnsi="Book Antiqua" w:cs="Arial"/>
          <w:bCs/>
          <w:sz w:val="24"/>
          <w:szCs w:val="24"/>
        </w:rPr>
        <w:t xml:space="preserve"> </w:t>
      </w:r>
      <w:r w:rsidR="00AE4722" w:rsidRPr="00FF3F8B">
        <w:rPr>
          <w:rFonts w:ascii="Book Antiqua" w:hAnsi="Book Antiqua" w:cs="Arial"/>
          <w:bCs/>
          <w:sz w:val="24"/>
          <w:szCs w:val="24"/>
        </w:rPr>
        <w:t>stabili conferiti a novembre 2024,</w:t>
      </w:r>
      <w:r w:rsidR="005A292D" w:rsidRPr="00FF3F8B">
        <w:rPr>
          <w:rFonts w:ascii="Book Antiqua" w:hAnsi="Book Antiqua" w:cs="Arial"/>
          <w:bCs/>
          <w:sz w:val="24"/>
          <w:szCs w:val="24"/>
        </w:rPr>
        <w:t xml:space="preserve"> </w:t>
      </w:r>
      <w:r w:rsidRPr="00FF3F8B">
        <w:rPr>
          <w:rFonts w:ascii="Book Antiqua" w:hAnsi="Book Antiqua" w:cs="Arial"/>
          <w:bCs/>
          <w:sz w:val="24"/>
          <w:szCs w:val="24"/>
        </w:rPr>
        <w:t>otto</w:t>
      </w:r>
      <w:r w:rsidR="005A292D" w:rsidRPr="00FF3F8B">
        <w:rPr>
          <w:rFonts w:ascii="Book Antiqua" w:hAnsi="Book Antiqua" w:cs="Arial"/>
          <w:bCs/>
          <w:sz w:val="24"/>
          <w:szCs w:val="24"/>
        </w:rPr>
        <w:t xml:space="preserve"> </w:t>
      </w:r>
      <w:r w:rsidR="00AE4722" w:rsidRPr="00FF3F8B">
        <w:rPr>
          <w:rFonts w:ascii="Book Antiqua" w:hAnsi="Book Antiqua" w:cs="Arial"/>
          <w:bCs/>
          <w:sz w:val="24"/>
          <w:szCs w:val="24"/>
        </w:rPr>
        <w:t>dei quali ubicati</w:t>
      </w:r>
      <w:r w:rsidR="00FF3F8B" w:rsidRPr="00FF3F8B">
        <w:rPr>
          <w:rFonts w:ascii="Book Antiqua" w:hAnsi="Book Antiqua" w:cs="Arial"/>
          <w:bCs/>
          <w:sz w:val="24"/>
          <w:szCs w:val="24"/>
        </w:rPr>
        <w:t xml:space="preserve"> </w:t>
      </w:r>
      <w:r w:rsidR="005A292D" w:rsidRPr="00FF3F8B">
        <w:rPr>
          <w:rFonts w:ascii="Book Antiqua" w:hAnsi="Book Antiqua" w:cs="Arial"/>
          <w:bCs/>
          <w:sz w:val="24"/>
          <w:szCs w:val="24"/>
        </w:rPr>
        <w:t>in zone molto centrali di Milano.</w:t>
      </w:r>
      <w:r w:rsidR="00565983">
        <w:rPr>
          <w:rFonts w:ascii="Book Antiqua" w:hAnsi="Book Antiqua" w:cs="Arial"/>
          <w:bCs/>
          <w:sz w:val="24"/>
          <w:szCs w:val="24"/>
        </w:rPr>
        <w:t xml:space="preserve"> </w:t>
      </w:r>
    </w:p>
    <w:p w14:paraId="38EB809C" w14:textId="77777777" w:rsidR="00891AC1" w:rsidRPr="00FF3F8B" w:rsidRDefault="00565983" w:rsidP="00EA73B3">
      <w:pPr>
        <w:jc w:val="both"/>
        <w:rPr>
          <w:rFonts w:ascii="Book Antiqua" w:hAnsi="Book Antiqua" w:cs="Arial"/>
          <w:bCs/>
          <w:sz w:val="24"/>
          <w:szCs w:val="24"/>
        </w:rPr>
      </w:pPr>
      <w:r>
        <w:rPr>
          <w:rFonts w:ascii="Book Antiqua" w:hAnsi="Book Antiqua" w:cs="Arial"/>
          <w:bCs/>
          <w:sz w:val="24"/>
          <w:szCs w:val="24"/>
        </w:rPr>
        <w:t>In particolare gli stabili sono ubicati in piazza del Carmine 1, piazza Mirabello 1</w:t>
      </w:r>
      <w:r w:rsidR="00D700E6">
        <w:rPr>
          <w:rFonts w:ascii="Book Antiqua" w:hAnsi="Book Antiqua" w:cs="Arial"/>
          <w:bCs/>
          <w:sz w:val="24"/>
          <w:szCs w:val="24"/>
        </w:rPr>
        <w:t>, piazza Mirabello</w:t>
      </w:r>
      <w:r>
        <w:rPr>
          <w:rFonts w:ascii="Book Antiqua" w:hAnsi="Book Antiqua" w:cs="Arial"/>
          <w:bCs/>
          <w:sz w:val="24"/>
          <w:szCs w:val="24"/>
        </w:rPr>
        <w:t xml:space="preserve"> 5, via della Moscova 25, via Montebello 7/via San Marco 20, via Curtatone 14/ via Orti 29, C</w:t>
      </w:r>
      <w:r w:rsidR="00D700E6">
        <w:rPr>
          <w:rFonts w:ascii="Book Antiqua" w:hAnsi="Book Antiqua" w:cs="Arial"/>
          <w:bCs/>
          <w:sz w:val="24"/>
          <w:szCs w:val="24"/>
        </w:rPr>
        <w:t>.</w:t>
      </w:r>
      <w:r>
        <w:rPr>
          <w:rFonts w:ascii="Book Antiqua" w:hAnsi="Book Antiqua" w:cs="Arial"/>
          <w:bCs/>
          <w:sz w:val="24"/>
          <w:szCs w:val="24"/>
        </w:rPr>
        <w:t>so P</w:t>
      </w:r>
      <w:r w:rsidR="00D700E6">
        <w:rPr>
          <w:rFonts w:ascii="Book Antiqua" w:hAnsi="Book Antiqua" w:cs="Arial"/>
          <w:bCs/>
          <w:sz w:val="24"/>
          <w:szCs w:val="24"/>
        </w:rPr>
        <w:t>.</w:t>
      </w:r>
      <w:r>
        <w:rPr>
          <w:rFonts w:ascii="Book Antiqua" w:hAnsi="Book Antiqua" w:cs="Arial"/>
          <w:bCs/>
          <w:sz w:val="24"/>
          <w:szCs w:val="24"/>
        </w:rPr>
        <w:t>ta Romana 116/116 a, via Petrarca 2, via Poma 48.</w:t>
      </w:r>
    </w:p>
    <w:p w14:paraId="3DB1BFC2" w14:textId="77777777" w:rsidR="00EA3DE3" w:rsidRPr="00FF3F8B" w:rsidRDefault="00EA3DE3" w:rsidP="00EA73B3">
      <w:pPr>
        <w:jc w:val="both"/>
        <w:rPr>
          <w:rFonts w:ascii="Book Antiqua" w:hAnsi="Book Antiqua" w:cs="Arial"/>
          <w:bCs/>
          <w:sz w:val="24"/>
          <w:szCs w:val="24"/>
        </w:rPr>
      </w:pPr>
      <w:r w:rsidRPr="00FF3F8B">
        <w:rPr>
          <w:rFonts w:ascii="Book Antiqua" w:hAnsi="Book Antiqua" w:cs="Arial"/>
          <w:bCs/>
          <w:sz w:val="24"/>
          <w:szCs w:val="24"/>
        </w:rPr>
        <w:t>Si tratta di un accordo importante che:</w:t>
      </w:r>
    </w:p>
    <w:p w14:paraId="67163C35" w14:textId="77777777" w:rsidR="0029542F" w:rsidRPr="00FF3F8B" w:rsidRDefault="0029542F" w:rsidP="00F523BB">
      <w:pPr>
        <w:pStyle w:val="Paragrafoelenco"/>
        <w:numPr>
          <w:ilvl w:val="0"/>
          <w:numId w:val="3"/>
        </w:numPr>
        <w:jc w:val="both"/>
        <w:rPr>
          <w:rFonts w:ascii="Book Antiqua" w:hAnsi="Book Antiqua" w:cs="Arial"/>
          <w:sz w:val="24"/>
          <w:szCs w:val="24"/>
        </w:rPr>
      </w:pPr>
      <w:r w:rsidRPr="00FF3F8B">
        <w:rPr>
          <w:rFonts w:ascii="Book Antiqua" w:hAnsi="Book Antiqua" w:cs="Arial"/>
          <w:sz w:val="24"/>
          <w:szCs w:val="24"/>
        </w:rPr>
        <w:t>permette a tutti gli inquilini residenziali di rinnovare il proprio contratto di locazione;</w:t>
      </w:r>
    </w:p>
    <w:p w14:paraId="5B10A913" w14:textId="77777777" w:rsidR="0029542F" w:rsidRPr="00FF3F8B" w:rsidRDefault="00F523BB" w:rsidP="00F523BB">
      <w:pPr>
        <w:pStyle w:val="Paragrafoelenco"/>
        <w:numPr>
          <w:ilvl w:val="0"/>
          <w:numId w:val="3"/>
        </w:numPr>
        <w:jc w:val="both"/>
        <w:rPr>
          <w:rFonts w:ascii="Book Antiqua" w:hAnsi="Book Antiqua" w:cs="Arial"/>
          <w:sz w:val="24"/>
          <w:szCs w:val="24"/>
        </w:rPr>
      </w:pPr>
      <w:r w:rsidRPr="00FF3F8B">
        <w:rPr>
          <w:rFonts w:ascii="Book Antiqua" w:hAnsi="Book Antiqua" w:cs="Arial"/>
          <w:sz w:val="24"/>
          <w:szCs w:val="24"/>
        </w:rPr>
        <w:t>estende l’utilizzo del canone concordato a tutto il patrimonio abitativo, con contratti della durata di sei anni più due, individua dei valori base degli affitti rapportati non solo alla zona, ma anche allo stato</w:t>
      </w:r>
      <w:r w:rsidR="00DD14A9" w:rsidRPr="00FF3F8B">
        <w:rPr>
          <w:rFonts w:ascii="Book Antiqua" w:hAnsi="Book Antiqua" w:cs="Arial"/>
          <w:sz w:val="24"/>
          <w:szCs w:val="24"/>
        </w:rPr>
        <w:t xml:space="preserve"> </w:t>
      </w:r>
      <w:r w:rsidR="0029542F" w:rsidRPr="00FF3F8B">
        <w:rPr>
          <w:rFonts w:ascii="Book Antiqua" w:hAnsi="Book Antiqua" w:cs="Arial"/>
          <w:sz w:val="24"/>
          <w:szCs w:val="24"/>
        </w:rPr>
        <w:t>manutentivo</w:t>
      </w:r>
      <w:r w:rsidRPr="00FF3F8B">
        <w:rPr>
          <w:rFonts w:ascii="Book Antiqua" w:hAnsi="Book Antiqua" w:cs="Arial"/>
          <w:sz w:val="24"/>
          <w:szCs w:val="24"/>
        </w:rPr>
        <w:t xml:space="preserve"> degli immobili</w:t>
      </w:r>
      <w:r w:rsidR="0029542F" w:rsidRPr="00FF3F8B">
        <w:rPr>
          <w:rFonts w:ascii="Book Antiqua" w:hAnsi="Book Antiqua" w:cs="Arial"/>
          <w:sz w:val="24"/>
          <w:szCs w:val="24"/>
        </w:rPr>
        <w:t>;</w:t>
      </w:r>
    </w:p>
    <w:p w14:paraId="2933265B" w14:textId="77777777" w:rsidR="00EA3DE3" w:rsidRPr="00FF3F8B" w:rsidRDefault="0029542F" w:rsidP="00F523BB">
      <w:pPr>
        <w:pStyle w:val="Paragrafoelenco"/>
        <w:numPr>
          <w:ilvl w:val="0"/>
          <w:numId w:val="3"/>
        </w:numPr>
        <w:jc w:val="both"/>
        <w:rPr>
          <w:rFonts w:ascii="Book Antiqua" w:hAnsi="Book Antiqua" w:cs="Arial"/>
          <w:sz w:val="24"/>
          <w:szCs w:val="24"/>
        </w:rPr>
      </w:pPr>
      <w:r w:rsidRPr="00FF3F8B">
        <w:rPr>
          <w:rFonts w:ascii="Book Antiqua" w:hAnsi="Book Antiqua" w:cs="Arial"/>
          <w:sz w:val="24"/>
          <w:szCs w:val="24"/>
        </w:rPr>
        <w:t xml:space="preserve">vengono applicati abbattimenti progressivi sul canone fino al 35% di sconto per </w:t>
      </w:r>
      <w:r w:rsidR="00AE4722" w:rsidRPr="00FF3F8B">
        <w:rPr>
          <w:rFonts w:ascii="Book Antiqua" w:hAnsi="Book Antiqua" w:cs="Arial"/>
          <w:sz w:val="24"/>
          <w:szCs w:val="24"/>
        </w:rPr>
        <w:t xml:space="preserve">i nuclei familiari con </w:t>
      </w:r>
      <w:r w:rsidRPr="00FF3F8B">
        <w:rPr>
          <w:rFonts w:ascii="Book Antiqua" w:hAnsi="Book Antiqua" w:cs="Arial"/>
          <w:sz w:val="24"/>
          <w:szCs w:val="24"/>
        </w:rPr>
        <w:t xml:space="preserve">redditi ISEE inferiori a </w:t>
      </w:r>
      <w:r w:rsidR="00F523BB" w:rsidRPr="00FF3F8B">
        <w:rPr>
          <w:rFonts w:ascii="Book Antiqua" w:hAnsi="Book Antiqua" w:cs="Arial"/>
          <w:sz w:val="24"/>
          <w:szCs w:val="24"/>
        </w:rPr>
        <w:t>35.000 euro</w:t>
      </w:r>
      <w:r w:rsidRPr="00FF3F8B">
        <w:rPr>
          <w:rFonts w:ascii="Book Antiqua" w:hAnsi="Book Antiqua" w:cs="Arial"/>
          <w:sz w:val="24"/>
          <w:szCs w:val="24"/>
        </w:rPr>
        <w:t>;</w:t>
      </w:r>
    </w:p>
    <w:p w14:paraId="2A532C7A" w14:textId="7F158225" w:rsidR="00F523BB" w:rsidRPr="00FF3F8B" w:rsidRDefault="00F523BB" w:rsidP="00F523BB">
      <w:pPr>
        <w:pStyle w:val="Paragrafoelenco"/>
        <w:numPr>
          <w:ilvl w:val="0"/>
          <w:numId w:val="3"/>
        </w:numPr>
        <w:jc w:val="both"/>
        <w:rPr>
          <w:rFonts w:ascii="Book Antiqua" w:hAnsi="Book Antiqua" w:cs="Arial"/>
          <w:sz w:val="24"/>
          <w:szCs w:val="24"/>
        </w:rPr>
      </w:pPr>
      <w:r w:rsidRPr="00FF3F8B">
        <w:rPr>
          <w:rFonts w:ascii="Book Antiqua" w:hAnsi="Book Antiqua" w:cs="Arial"/>
          <w:sz w:val="24"/>
          <w:szCs w:val="24"/>
        </w:rPr>
        <w:t xml:space="preserve">stabilisce ulteriori tutele per anziani </w:t>
      </w:r>
      <w:r w:rsidR="00BF1DD3" w:rsidRPr="00FF3F8B">
        <w:rPr>
          <w:rFonts w:ascii="Book Antiqua" w:hAnsi="Book Antiqua" w:cs="Arial"/>
          <w:sz w:val="24"/>
          <w:szCs w:val="24"/>
        </w:rPr>
        <w:t>e</w:t>
      </w:r>
      <w:r w:rsidRPr="00FF3F8B">
        <w:rPr>
          <w:rFonts w:ascii="Book Antiqua" w:hAnsi="Book Antiqua" w:cs="Arial"/>
          <w:sz w:val="24"/>
          <w:szCs w:val="24"/>
        </w:rPr>
        <w:t xml:space="preserve"> invalidi sia rispetto alla durata contrattuale che nelle fasce di abbattimento degli </w:t>
      </w:r>
      <w:r w:rsidR="00BF1DD3" w:rsidRPr="00FF3F8B">
        <w:rPr>
          <w:rFonts w:ascii="Book Antiqua" w:hAnsi="Book Antiqua" w:cs="Arial"/>
          <w:sz w:val="24"/>
          <w:szCs w:val="24"/>
        </w:rPr>
        <w:t>affitti</w:t>
      </w:r>
      <w:r w:rsidR="0016404E">
        <w:rPr>
          <w:rFonts w:ascii="Book Antiqua" w:hAnsi="Book Antiqua" w:cs="Arial"/>
          <w:sz w:val="24"/>
          <w:szCs w:val="24"/>
        </w:rPr>
        <w:t>;</w:t>
      </w:r>
    </w:p>
    <w:p w14:paraId="53DE1FBB" w14:textId="592A53A2" w:rsidR="00F523BB" w:rsidRPr="00FF3F8B" w:rsidRDefault="00F523BB" w:rsidP="00F523BB">
      <w:pPr>
        <w:pStyle w:val="Paragrafoelenco"/>
        <w:numPr>
          <w:ilvl w:val="0"/>
          <w:numId w:val="3"/>
        </w:numPr>
        <w:jc w:val="both"/>
        <w:rPr>
          <w:rFonts w:ascii="Book Antiqua" w:hAnsi="Book Antiqua" w:cs="Arial"/>
          <w:sz w:val="24"/>
          <w:szCs w:val="24"/>
        </w:rPr>
      </w:pPr>
      <w:r w:rsidRPr="00FF3F8B">
        <w:rPr>
          <w:rFonts w:ascii="Book Antiqua" w:hAnsi="Book Antiqua" w:cs="Arial"/>
          <w:sz w:val="24"/>
          <w:szCs w:val="24"/>
        </w:rPr>
        <w:t xml:space="preserve">impegna INVIMIT a piani di manutenzione negli stabili, da condividere con tempi certi con i sindacati </w:t>
      </w:r>
      <w:r w:rsidR="00BF1DD3" w:rsidRPr="00FF3F8B">
        <w:rPr>
          <w:rFonts w:ascii="Book Antiqua" w:hAnsi="Book Antiqua" w:cs="Arial"/>
          <w:sz w:val="24"/>
          <w:szCs w:val="24"/>
        </w:rPr>
        <w:t>inquilini</w:t>
      </w:r>
      <w:r w:rsidR="0016404E">
        <w:rPr>
          <w:rFonts w:ascii="Book Antiqua" w:hAnsi="Book Antiqua" w:cs="Arial"/>
          <w:sz w:val="24"/>
          <w:szCs w:val="24"/>
        </w:rPr>
        <w:t>;</w:t>
      </w:r>
    </w:p>
    <w:p w14:paraId="0B7439DB" w14:textId="47D760B7" w:rsidR="00F523BB" w:rsidRPr="00FF3F8B" w:rsidRDefault="00F523BB" w:rsidP="00F523BB">
      <w:pPr>
        <w:pStyle w:val="Paragrafoelenco"/>
        <w:numPr>
          <w:ilvl w:val="0"/>
          <w:numId w:val="3"/>
        </w:numPr>
        <w:jc w:val="both"/>
        <w:rPr>
          <w:rFonts w:ascii="Book Antiqua" w:hAnsi="Book Antiqua" w:cs="Arial"/>
          <w:sz w:val="24"/>
          <w:szCs w:val="24"/>
        </w:rPr>
      </w:pPr>
      <w:r w:rsidRPr="00FF3F8B">
        <w:rPr>
          <w:rFonts w:ascii="Book Antiqua" w:hAnsi="Book Antiqua" w:cs="Arial"/>
          <w:sz w:val="24"/>
          <w:szCs w:val="24"/>
        </w:rPr>
        <w:t>impegna la proprietà a non utilizzare il</w:t>
      </w:r>
      <w:r w:rsidR="00AE4722" w:rsidRPr="00FF3F8B">
        <w:rPr>
          <w:rFonts w:ascii="Book Antiqua" w:hAnsi="Book Antiqua" w:cs="Arial"/>
          <w:sz w:val="24"/>
          <w:szCs w:val="24"/>
        </w:rPr>
        <w:t xml:space="preserve"> patrimonio conferito dal PAT</w:t>
      </w:r>
      <w:r w:rsidR="00BF1DD3" w:rsidRPr="00FF3F8B">
        <w:rPr>
          <w:rFonts w:ascii="Book Antiqua" w:hAnsi="Book Antiqua" w:cs="Arial"/>
          <w:sz w:val="24"/>
          <w:szCs w:val="24"/>
        </w:rPr>
        <w:t xml:space="preserve"> </w:t>
      </w:r>
      <w:r w:rsidRPr="00FF3F8B">
        <w:rPr>
          <w:rFonts w:ascii="Book Antiqua" w:hAnsi="Book Antiqua" w:cs="Arial"/>
          <w:sz w:val="24"/>
          <w:szCs w:val="24"/>
        </w:rPr>
        <w:t>per affitti brevi, come invece ha fatto il PAT negli ultimi anni</w:t>
      </w:r>
      <w:r w:rsidR="0016404E">
        <w:rPr>
          <w:rFonts w:ascii="Book Antiqua" w:hAnsi="Book Antiqua" w:cs="Arial"/>
          <w:sz w:val="24"/>
          <w:szCs w:val="24"/>
        </w:rPr>
        <w:t>;</w:t>
      </w:r>
    </w:p>
    <w:p w14:paraId="04DC2FC6" w14:textId="2CA637C7" w:rsidR="00AE3D17" w:rsidRPr="00FF3F8B" w:rsidRDefault="00F75980" w:rsidP="00AE3D17">
      <w:pPr>
        <w:pStyle w:val="Paragrafoelenco"/>
        <w:numPr>
          <w:ilvl w:val="0"/>
          <w:numId w:val="3"/>
        </w:numPr>
        <w:jc w:val="both"/>
        <w:rPr>
          <w:rFonts w:ascii="Book Antiqua" w:hAnsi="Book Antiqua" w:cs="Arial"/>
          <w:bCs/>
          <w:sz w:val="24"/>
          <w:szCs w:val="24"/>
        </w:rPr>
      </w:pPr>
      <w:r w:rsidRPr="00FF3F8B">
        <w:rPr>
          <w:rFonts w:ascii="Book Antiqua" w:hAnsi="Book Antiqua" w:cs="Arial"/>
          <w:bCs/>
          <w:sz w:val="24"/>
          <w:szCs w:val="24"/>
        </w:rPr>
        <w:t>introdu</w:t>
      </w:r>
      <w:r w:rsidR="001841FF" w:rsidRPr="00FF3F8B">
        <w:rPr>
          <w:rFonts w:ascii="Book Antiqua" w:hAnsi="Book Antiqua" w:cs="Arial"/>
          <w:bCs/>
          <w:sz w:val="24"/>
          <w:szCs w:val="24"/>
        </w:rPr>
        <w:t>ce</w:t>
      </w:r>
      <w:r w:rsidR="00DD14A9" w:rsidRPr="00FF3F8B">
        <w:rPr>
          <w:rFonts w:ascii="Book Antiqua" w:hAnsi="Book Antiqua" w:cs="Arial"/>
          <w:bCs/>
          <w:sz w:val="24"/>
          <w:szCs w:val="24"/>
        </w:rPr>
        <w:t xml:space="preserve"> </w:t>
      </w:r>
      <w:r w:rsidR="007661C1" w:rsidRPr="00FF3F8B">
        <w:rPr>
          <w:rFonts w:ascii="Book Antiqua" w:hAnsi="Book Antiqua" w:cs="Arial"/>
          <w:bCs/>
          <w:sz w:val="24"/>
          <w:szCs w:val="24"/>
        </w:rPr>
        <w:t>per la prima volta in un accordo integrativo,</w:t>
      </w:r>
      <w:r w:rsidR="00A256EC" w:rsidRPr="00FF3F8B">
        <w:rPr>
          <w:rFonts w:ascii="Book Antiqua" w:hAnsi="Book Antiqua" w:cs="Arial"/>
          <w:bCs/>
          <w:sz w:val="24"/>
          <w:szCs w:val="24"/>
        </w:rPr>
        <w:t xml:space="preserve"> con riguardo ai vecchi contratti a canone concordato, </w:t>
      </w:r>
      <w:r w:rsidRPr="00FF3F8B">
        <w:rPr>
          <w:rFonts w:ascii="Book Antiqua" w:hAnsi="Book Antiqua" w:cs="Arial"/>
          <w:bCs/>
          <w:sz w:val="24"/>
          <w:szCs w:val="24"/>
        </w:rPr>
        <w:t xml:space="preserve">il </w:t>
      </w:r>
      <w:r w:rsidR="00A256EC" w:rsidRPr="00FF3F8B">
        <w:rPr>
          <w:rFonts w:ascii="Book Antiqua" w:hAnsi="Book Antiqua" w:cs="Arial"/>
          <w:bCs/>
          <w:sz w:val="24"/>
          <w:szCs w:val="24"/>
        </w:rPr>
        <w:t xml:space="preserve">principio per il quale il canone non deve incidere più del 30% </w:t>
      </w:r>
      <w:r w:rsidR="00DD14A9" w:rsidRPr="00FF3F8B">
        <w:rPr>
          <w:rFonts w:ascii="Book Antiqua" w:hAnsi="Book Antiqua" w:cs="Arial"/>
          <w:bCs/>
          <w:sz w:val="24"/>
          <w:szCs w:val="24"/>
        </w:rPr>
        <w:t>sul reddito netto del nucleo familiare</w:t>
      </w:r>
      <w:r w:rsidR="00AE3D17" w:rsidRPr="00FF3F8B">
        <w:rPr>
          <w:rFonts w:ascii="Book Antiqua" w:hAnsi="Book Antiqua" w:cs="Arial"/>
          <w:bCs/>
          <w:sz w:val="24"/>
          <w:szCs w:val="24"/>
        </w:rPr>
        <w:t>. Nel caso di superamento del rapporto, il canone avrà un aumento massimo del 20%</w:t>
      </w:r>
      <w:r w:rsidR="0016404E">
        <w:rPr>
          <w:rFonts w:ascii="Book Antiqua" w:hAnsi="Book Antiqua" w:cs="Arial"/>
          <w:bCs/>
          <w:sz w:val="24"/>
          <w:szCs w:val="24"/>
        </w:rPr>
        <w:t>.</w:t>
      </w:r>
    </w:p>
    <w:p w14:paraId="0E216EAA" w14:textId="094E2994" w:rsidR="001841FF" w:rsidRPr="00FF3F8B" w:rsidRDefault="001841FF" w:rsidP="00BA4D3B">
      <w:pPr>
        <w:jc w:val="both"/>
        <w:rPr>
          <w:rFonts w:ascii="Book Antiqua" w:hAnsi="Book Antiqua" w:cs="Arial"/>
          <w:bCs/>
          <w:sz w:val="24"/>
          <w:szCs w:val="24"/>
        </w:rPr>
      </w:pPr>
      <w:r w:rsidRPr="00FF3F8B">
        <w:rPr>
          <w:rFonts w:ascii="Book Antiqua" w:hAnsi="Book Antiqua" w:cs="Arial"/>
          <w:bCs/>
          <w:sz w:val="24"/>
          <w:szCs w:val="24"/>
        </w:rPr>
        <w:lastRenderedPageBreak/>
        <w:t>I sindacati inquilini S</w:t>
      </w:r>
      <w:r w:rsidR="0016404E">
        <w:rPr>
          <w:rFonts w:ascii="Book Antiqua" w:hAnsi="Book Antiqua" w:cs="Arial"/>
          <w:bCs/>
          <w:sz w:val="24"/>
          <w:szCs w:val="24"/>
        </w:rPr>
        <w:t xml:space="preserve">unia, Sicet e Unione Inquilini, </w:t>
      </w:r>
      <w:r w:rsidRPr="00FF3F8B">
        <w:rPr>
          <w:rFonts w:ascii="Book Antiqua" w:hAnsi="Book Antiqua" w:cs="Arial"/>
          <w:bCs/>
          <w:sz w:val="24"/>
          <w:szCs w:val="24"/>
        </w:rPr>
        <w:t xml:space="preserve">così come molte istituzioni della nostra città, hanno espresso </w:t>
      </w:r>
      <w:r w:rsidR="00611D1E">
        <w:rPr>
          <w:rFonts w:ascii="Book Antiqua" w:hAnsi="Book Antiqua" w:cs="Arial"/>
          <w:bCs/>
          <w:sz w:val="24"/>
          <w:szCs w:val="24"/>
        </w:rPr>
        <w:t xml:space="preserve">un giudizio negativo </w:t>
      </w:r>
      <w:r w:rsidRPr="00FF3F8B">
        <w:rPr>
          <w:rFonts w:ascii="Book Antiqua" w:hAnsi="Book Antiqua" w:cs="Arial"/>
          <w:bCs/>
          <w:sz w:val="24"/>
          <w:szCs w:val="24"/>
        </w:rPr>
        <w:t>sull’operazione di conferimento del patrimonio abitativo del PAT ad un Fondo Immobil</w:t>
      </w:r>
      <w:r w:rsidR="005A292D" w:rsidRPr="00FF3F8B">
        <w:rPr>
          <w:rFonts w:ascii="Book Antiqua" w:hAnsi="Book Antiqua" w:cs="Arial"/>
          <w:bCs/>
          <w:sz w:val="24"/>
          <w:szCs w:val="24"/>
        </w:rPr>
        <w:t>iare, seppur di natura pubblica, perplessità accresciute</w:t>
      </w:r>
      <w:r w:rsidR="00AE4722" w:rsidRPr="00FF3F8B">
        <w:rPr>
          <w:rFonts w:ascii="Book Antiqua" w:hAnsi="Book Antiqua" w:cs="Arial"/>
          <w:bCs/>
          <w:sz w:val="24"/>
          <w:szCs w:val="24"/>
        </w:rPr>
        <w:t xml:space="preserve"> </w:t>
      </w:r>
      <w:r w:rsidR="005A292D" w:rsidRPr="00FF3F8B">
        <w:rPr>
          <w:rFonts w:ascii="Book Antiqua" w:hAnsi="Book Antiqua" w:cs="Arial"/>
          <w:bCs/>
          <w:sz w:val="24"/>
          <w:szCs w:val="24"/>
        </w:rPr>
        <w:t xml:space="preserve">da come l’operazione </w:t>
      </w:r>
      <w:r w:rsidR="00BF1DD3" w:rsidRPr="00FF3F8B">
        <w:rPr>
          <w:rFonts w:ascii="Book Antiqua" w:hAnsi="Book Antiqua" w:cs="Arial"/>
          <w:bCs/>
          <w:sz w:val="24"/>
          <w:szCs w:val="24"/>
        </w:rPr>
        <w:t>è</w:t>
      </w:r>
      <w:r w:rsidR="00BF1DD3">
        <w:rPr>
          <w:rFonts w:ascii="Book Antiqua" w:hAnsi="Book Antiqua" w:cs="Arial"/>
          <w:bCs/>
          <w:sz w:val="24"/>
          <w:szCs w:val="24"/>
        </w:rPr>
        <w:t xml:space="preserve"> stata </w:t>
      </w:r>
      <w:r w:rsidRPr="00FF3F8B">
        <w:rPr>
          <w:rFonts w:ascii="Book Antiqua" w:hAnsi="Book Antiqua" w:cs="Arial"/>
          <w:bCs/>
          <w:sz w:val="24"/>
          <w:szCs w:val="24"/>
        </w:rPr>
        <w:t xml:space="preserve">condotta dalla dirigenza PAT, senza confronto con le </w:t>
      </w:r>
      <w:r w:rsidR="0016404E">
        <w:rPr>
          <w:rFonts w:ascii="Book Antiqua" w:hAnsi="Book Antiqua" w:cs="Arial"/>
          <w:bCs/>
          <w:sz w:val="24"/>
          <w:szCs w:val="24"/>
        </w:rPr>
        <w:t>o</w:t>
      </w:r>
      <w:r w:rsidRPr="00FF3F8B">
        <w:rPr>
          <w:rFonts w:ascii="Book Antiqua" w:hAnsi="Book Antiqua" w:cs="Arial"/>
          <w:bCs/>
          <w:sz w:val="24"/>
          <w:szCs w:val="24"/>
        </w:rPr>
        <w:t xml:space="preserve">rganizzazioni </w:t>
      </w:r>
      <w:r w:rsidR="0016404E">
        <w:rPr>
          <w:rFonts w:ascii="Book Antiqua" w:hAnsi="Book Antiqua" w:cs="Arial"/>
          <w:bCs/>
          <w:sz w:val="24"/>
          <w:szCs w:val="24"/>
        </w:rPr>
        <w:t>s</w:t>
      </w:r>
      <w:r w:rsidRPr="00FF3F8B">
        <w:rPr>
          <w:rFonts w:ascii="Book Antiqua" w:hAnsi="Book Antiqua" w:cs="Arial"/>
          <w:bCs/>
          <w:sz w:val="24"/>
          <w:szCs w:val="24"/>
        </w:rPr>
        <w:t xml:space="preserve">indacali, con poca trasparenza, senza dare garanzie agli attuali </w:t>
      </w:r>
      <w:r w:rsidR="00786A99" w:rsidRPr="00FF3F8B">
        <w:rPr>
          <w:rFonts w:ascii="Book Antiqua" w:hAnsi="Book Antiqua" w:cs="Arial"/>
          <w:bCs/>
          <w:sz w:val="24"/>
          <w:szCs w:val="24"/>
        </w:rPr>
        <w:t>I</w:t>
      </w:r>
      <w:r w:rsidRPr="00FF3F8B">
        <w:rPr>
          <w:rFonts w:ascii="Book Antiqua" w:hAnsi="Book Antiqua" w:cs="Arial"/>
          <w:bCs/>
          <w:sz w:val="24"/>
          <w:szCs w:val="24"/>
        </w:rPr>
        <w:t>nquilini</w:t>
      </w:r>
      <w:r w:rsidR="005454F8" w:rsidRPr="00FF3F8B">
        <w:rPr>
          <w:rFonts w:ascii="Book Antiqua" w:hAnsi="Book Antiqua" w:cs="Arial"/>
          <w:bCs/>
          <w:sz w:val="24"/>
          <w:szCs w:val="24"/>
        </w:rPr>
        <w:t xml:space="preserve">, proseguendo negli sfratti e nelle </w:t>
      </w:r>
      <w:r w:rsidRPr="00FF3F8B">
        <w:rPr>
          <w:rFonts w:ascii="Book Antiqua" w:hAnsi="Book Antiqua" w:cs="Arial"/>
          <w:bCs/>
          <w:sz w:val="24"/>
          <w:szCs w:val="24"/>
        </w:rPr>
        <w:t xml:space="preserve">disdette </w:t>
      </w:r>
      <w:r w:rsidR="005454F8" w:rsidRPr="00FF3F8B">
        <w:rPr>
          <w:rFonts w:ascii="Book Antiqua" w:hAnsi="Book Antiqua" w:cs="Arial"/>
          <w:bCs/>
          <w:sz w:val="24"/>
          <w:szCs w:val="24"/>
        </w:rPr>
        <w:t xml:space="preserve">dei contratti, </w:t>
      </w:r>
      <w:r w:rsidRPr="00FF3F8B">
        <w:rPr>
          <w:rFonts w:ascii="Book Antiqua" w:hAnsi="Book Antiqua" w:cs="Arial"/>
          <w:bCs/>
          <w:sz w:val="24"/>
          <w:szCs w:val="24"/>
        </w:rPr>
        <w:t xml:space="preserve">che hanno seminato il panico tra </w:t>
      </w:r>
      <w:r w:rsidR="00786A99" w:rsidRPr="00FF3F8B">
        <w:rPr>
          <w:rFonts w:ascii="Book Antiqua" w:hAnsi="Book Antiqua" w:cs="Arial"/>
          <w:bCs/>
          <w:sz w:val="24"/>
          <w:szCs w:val="24"/>
        </w:rPr>
        <w:t>tutti i residenti.</w:t>
      </w:r>
    </w:p>
    <w:p w14:paraId="339F17EC" w14:textId="06092590" w:rsidR="00BA4D3B" w:rsidRPr="00FF3F8B" w:rsidRDefault="003D5AC4" w:rsidP="00BA26BA">
      <w:pPr>
        <w:pStyle w:val="Paragrafoelenco"/>
        <w:ind w:left="0"/>
        <w:jc w:val="both"/>
        <w:rPr>
          <w:rFonts w:ascii="Book Antiqua" w:hAnsi="Book Antiqua" w:cs="Arial"/>
          <w:bCs/>
          <w:sz w:val="24"/>
          <w:szCs w:val="24"/>
        </w:rPr>
      </w:pPr>
      <w:r w:rsidRPr="00FF3F8B">
        <w:rPr>
          <w:rFonts w:ascii="Book Antiqua" w:hAnsi="Book Antiqua" w:cs="Arial"/>
          <w:bCs/>
          <w:sz w:val="24"/>
          <w:szCs w:val="24"/>
        </w:rPr>
        <w:t xml:space="preserve">Le </w:t>
      </w:r>
      <w:r w:rsidR="005454F8" w:rsidRPr="00FF3F8B">
        <w:rPr>
          <w:rFonts w:ascii="Book Antiqua" w:hAnsi="Book Antiqua" w:cs="Arial"/>
          <w:bCs/>
          <w:sz w:val="24"/>
          <w:szCs w:val="24"/>
        </w:rPr>
        <w:t>molteplici iniziative d</w:t>
      </w:r>
      <w:r w:rsidR="00FF3F8B" w:rsidRPr="00FF3F8B">
        <w:rPr>
          <w:rFonts w:ascii="Book Antiqua" w:hAnsi="Book Antiqua" w:cs="Arial"/>
          <w:bCs/>
          <w:sz w:val="24"/>
          <w:szCs w:val="24"/>
        </w:rPr>
        <w:t>i mobilitazione degli inquilini e</w:t>
      </w:r>
      <w:r w:rsidR="005454F8" w:rsidRPr="00FF3F8B">
        <w:rPr>
          <w:rFonts w:ascii="Book Antiqua" w:hAnsi="Book Antiqua" w:cs="Arial"/>
          <w:bCs/>
          <w:sz w:val="24"/>
          <w:szCs w:val="24"/>
        </w:rPr>
        <w:t xml:space="preserve"> delle </w:t>
      </w:r>
      <w:r w:rsidR="00FF3F8B" w:rsidRPr="00FF3F8B">
        <w:rPr>
          <w:rFonts w:ascii="Book Antiqua" w:hAnsi="Book Antiqua" w:cs="Arial"/>
          <w:bCs/>
          <w:sz w:val="24"/>
          <w:szCs w:val="24"/>
        </w:rPr>
        <w:t xml:space="preserve">organizzazioni sindacali </w:t>
      </w:r>
      <w:r w:rsidR="00DD14A9" w:rsidRPr="00FF3F8B">
        <w:rPr>
          <w:rFonts w:ascii="Book Antiqua" w:hAnsi="Book Antiqua" w:cs="Arial"/>
          <w:bCs/>
          <w:sz w:val="24"/>
          <w:szCs w:val="24"/>
        </w:rPr>
        <w:t xml:space="preserve">che hanno trovato il sostegno </w:t>
      </w:r>
      <w:r w:rsidR="00AE4722" w:rsidRPr="00FF3F8B">
        <w:rPr>
          <w:rFonts w:ascii="Book Antiqua" w:hAnsi="Book Antiqua" w:cs="Arial"/>
          <w:bCs/>
          <w:sz w:val="24"/>
          <w:szCs w:val="24"/>
        </w:rPr>
        <w:t>de</w:t>
      </w:r>
      <w:r w:rsidRPr="00FF3F8B">
        <w:rPr>
          <w:rFonts w:ascii="Book Antiqua" w:hAnsi="Book Antiqua" w:cs="Arial"/>
          <w:bCs/>
          <w:sz w:val="24"/>
          <w:szCs w:val="24"/>
        </w:rPr>
        <w:t xml:space="preserve">lle </w:t>
      </w:r>
      <w:r w:rsidR="0016404E">
        <w:rPr>
          <w:rFonts w:ascii="Book Antiqua" w:hAnsi="Book Antiqua" w:cs="Arial"/>
          <w:bCs/>
          <w:sz w:val="24"/>
          <w:szCs w:val="24"/>
        </w:rPr>
        <w:t>i</w:t>
      </w:r>
      <w:r w:rsidRPr="00FF3F8B">
        <w:rPr>
          <w:rFonts w:ascii="Book Antiqua" w:hAnsi="Book Antiqua" w:cs="Arial"/>
          <w:bCs/>
          <w:sz w:val="24"/>
          <w:szCs w:val="24"/>
        </w:rPr>
        <w:t xml:space="preserve">stituzioni di questa </w:t>
      </w:r>
      <w:r w:rsidR="0016404E">
        <w:rPr>
          <w:rFonts w:ascii="Book Antiqua" w:hAnsi="Book Antiqua" w:cs="Arial"/>
          <w:bCs/>
          <w:sz w:val="24"/>
          <w:szCs w:val="24"/>
        </w:rPr>
        <w:t>c</w:t>
      </w:r>
      <w:r w:rsidRPr="00FF3F8B">
        <w:rPr>
          <w:rFonts w:ascii="Book Antiqua" w:hAnsi="Book Antiqua" w:cs="Arial"/>
          <w:bCs/>
          <w:sz w:val="24"/>
          <w:szCs w:val="24"/>
        </w:rPr>
        <w:t xml:space="preserve">ittà, </w:t>
      </w:r>
      <w:r w:rsidR="00AE4722" w:rsidRPr="00FF3F8B">
        <w:rPr>
          <w:rFonts w:ascii="Book Antiqua" w:hAnsi="Book Antiqua" w:cs="Arial"/>
          <w:bCs/>
          <w:sz w:val="24"/>
          <w:szCs w:val="24"/>
        </w:rPr>
        <w:t xml:space="preserve">a partire dalla Commissione Casa del Consiglio comunale </w:t>
      </w:r>
      <w:r w:rsidR="00FF3F8B" w:rsidRPr="00FF3F8B">
        <w:rPr>
          <w:rFonts w:ascii="Book Antiqua" w:hAnsi="Book Antiqua" w:cs="Arial"/>
          <w:bCs/>
          <w:sz w:val="24"/>
          <w:szCs w:val="24"/>
        </w:rPr>
        <w:t>di Milano</w:t>
      </w:r>
      <w:r w:rsidR="00AE4722" w:rsidRPr="00FF3F8B">
        <w:rPr>
          <w:rFonts w:ascii="Book Antiqua" w:hAnsi="Book Antiqua" w:cs="Arial"/>
          <w:bCs/>
          <w:sz w:val="24"/>
          <w:szCs w:val="24"/>
        </w:rPr>
        <w:t xml:space="preserve">, delle </w:t>
      </w:r>
      <w:r w:rsidR="0052130B" w:rsidRPr="00FF3F8B">
        <w:rPr>
          <w:rFonts w:ascii="Book Antiqua" w:hAnsi="Book Antiqua" w:cs="Arial"/>
          <w:bCs/>
          <w:sz w:val="24"/>
          <w:szCs w:val="24"/>
        </w:rPr>
        <w:t>forze politi</w:t>
      </w:r>
      <w:r w:rsidR="00C94A47" w:rsidRPr="00FF3F8B">
        <w:rPr>
          <w:rFonts w:ascii="Book Antiqua" w:hAnsi="Book Antiqua" w:cs="Arial"/>
          <w:bCs/>
          <w:sz w:val="24"/>
          <w:szCs w:val="24"/>
        </w:rPr>
        <w:t>che di maggioranza comunali e de</w:t>
      </w:r>
      <w:r w:rsidR="0052130B" w:rsidRPr="00FF3F8B">
        <w:rPr>
          <w:rFonts w:ascii="Book Antiqua" w:hAnsi="Book Antiqua" w:cs="Arial"/>
          <w:bCs/>
          <w:sz w:val="24"/>
          <w:szCs w:val="24"/>
        </w:rPr>
        <w:t xml:space="preserve">lle forze politiche di minoranza regionali, </w:t>
      </w:r>
      <w:r w:rsidR="005454F8" w:rsidRPr="00FF3F8B">
        <w:rPr>
          <w:rFonts w:ascii="Book Antiqua" w:hAnsi="Book Antiqua" w:cs="Arial"/>
          <w:bCs/>
          <w:sz w:val="24"/>
          <w:szCs w:val="24"/>
        </w:rPr>
        <w:t>hanno saputo porre al centro del dibattito politico questa vicenda</w:t>
      </w:r>
      <w:r w:rsidR="00BA4D3B" w:rsidRPr="00FF3F8B">
        <w:rPr>
          <w:rFonts w:ascii="Book Antiqua" w:hAnsi="Book Antiqua" w:cs="Arial"/>
          <w:bCs/>
          <w:sz w:val="24"/>
          <w:szCs w:val="24"/>
        </w:rPr>
        <w:t>.</w:t>
      </w:r>
    </w:p>
    <w:p w14:paraId="796579FE" w14:textId="7C4D5F6A" w:rsidR="005454F8" w:rsidRPr="00FF3F8B" w:rsidRDefault="00BA4D3B" w:rsidP="00BA26BA">
      <w:pPr>
        <w:pStyle w:val="Paragrafoelenco"/>
        <w:ind w:left="0"/>
        <w:jc w:val="both"/>
        <w:rPr>
          <w:rFonts w:ascii="Book Antiqua" w:hAnsi="Book Antiqua" w:cs="Arial"/>
          <w:bCs/>
          <w:sz w:val="24"/>
          <w:szCs w:val="24"/>
        </w:rPr>
      </w:pPr>
      <w:r w:rsidRPr="00FF3F8B">
        <w:rPr>
          <w:rFonts w:ascii="Book Antiqua" w:hAnsi="Book Antiqua" w:cs="Arial"/>
          <w:bCs/>
          <w:sz w:val="24"/>
          <w:szCs w:val="24"/>
        </w:rPr>
        <w:t>C</w:t>
      </w:r>
      <w:r w:rsidR="005454F8" w:rsidRPr="00FF3F8B">
        <w:rPr>
          <w:rFonts w:ascii="Book Antiqua" w:hAnsi="Book Antiqua" w:cs="Arial"/>
          <w:bCs/>
          <w:sz w:val="24"/>
          <w:szCs w:val="24"/>
        </w:rPr>
        <w:t xml:space="preserve">ome </w:t>
      </w:r>
      <w:r w:rsidR="0016404E">
        <w:rPr>
          <w:rFonts w:ascii="Book Antiqua" w:hAnsi="Book Antiqua" w:cs="Arial"/>
          <w:bCs/>
          <w:sz w:val="24"/>
          <w:szCs w:val="24"/>
        </w:rPr>
        <w:t>s</w:t>
      </w:r>
      <w:r w:rsidR="005454F8" w:rsidRPr="00FF3F8B">
        <w:rPr>
          <w:rFonts w:ascii="Book Antiqua" w:hAnsi="Book Antiqua" w:cs="Arial"/>
          <w:bCs/>
          <w:sz w:val="24"/>
          <w:szCs w:val="24"/>
        </w:rPr>
        <w:t xml:space="preserve">indacati crediamo che le </w:t>
      </w:r>
      <w:r w:rsidR="00405969" w:rsidRPr="00FF3F8B">
        <w:rPr>
          <w:rFonts w:ascii="Book Antiqua" w:hAnsi="Book Antiqua" w:cs="Arial"/>
          <w:bCs/>
          <w:sz w:val="24"/>
          <w:szCs w:val="24"/>
        </w:rPr>
        <w:t>mobilitazioni</w:t>
      </w:r>
      <w:r w:rsidR="00FF3F8B" w:rsidRPr="00FF3F8B">
        <w:rPr>
          <w:rFonts w:ascii="Book Antiqua" w:hAnsi="Book Antiqua" w:cs="Arial"/>
          <w:bCs/>
          <w:sz w:val="24"/>
          <w:szCs w:val="24"/>
        </w:rPr>
        <w:t xml:space="preserve"> </w:t>
      </w:r>
      <w:r w:rsidR="005454F8" w:rsidRPr="00FF3F8B">
        <w:rPr>
          <w:rFonts w:ascii="Book Antiqua" w:hAnsi="Book Antiqua" w:cs="Arial"/>
          <w:bCs/>
          <w:sz w:val="24"/>
          <w:szCs w:val="24"/>
        </w:rPr>
        <w:t xml:space="preserve">siano state determinanti per il raggiungimento di un  accordo con INVIMIT, accordo  che riteniamo positivo in quanto tutela non solo le condizioni di fragilità, </w:t>
      </w:r>
      <w:r w:rsidR="0016404E">
        <w:rPr>
          <w:rFonts w:ascii="Book Antiqua" w:hAnsi="Book Antiqua" w:cs="Arial"/>
          <w:bCs/>
          <w:sz w:val="24"/>
          <w:szCs w:val="24"/>
        </w:rPr>
        <w:t xml:space="preserve"> </w:t>
      </w:r>
      <w:r w:rsidR="005454F8" w:rsidRPr="00FF3F8B">
        <w:rPr>
          <w:rFonts w:ascii="Book Antiqua" w:hAnsi="Book Antiqua" w:cs="Arial"/>
          <w:bCs/>
          <w:sz w:val="24"/>
          <w:szCs w:val="24"/>
        </w:rPr>
        <w:t>sulle quali c’è comunque una particolare attenzione, ma tutti gli inquilini coinvolti, con l’applicazione del canone concordato a prezzi inferiori a quelli di mercato.</w:t>
      </w:r>
    </w:p>
    <w:p w14:paraId="45060D7E" w14:textId="77777777" w:rsidR="005454F8" w:rsidRPr="00FF3F8B" w:rsidRDefault="005454F8" w:rsidP="005454F8">
      <w:pPr>
        <w:jc w:val="both"/>
        <w:rPr>
          <w:rFonts w:ascii="Book Antiqua" w:hAnsi="Book Antiqua" w:cs="Arial"/>
          <w:sz w:val="24"/>
          <w:szCs w:val="24"/>
        </w:rPr>
      </w:pPr>
      <w:r w:rsidRPr="00FF3F8B">
        <w:rPr>
          <w:rFonts w:ascii="Book Antiqua" w:hAnsi="Book Antiqua" w:cs="Arial"/>
          <w:sz w:val="24"/>
          <w:szCs w:val="24"/>
        </w:rPr>
        <w:t>Riteniamo inoltre positivo che si sia aperta una costruttiva interlocuzione con INVIMIT, che proseguirà nei prossimi mesi per una completa applicazione dell’accordo oggi siglato, a partire dalla questione dell’attuazione dei piani manutentivi nei singoli stabili.</w:t>
      </w:r>
    </w:p>
    <w:p w14:paraId="14407D4F" w14:textId="7CA4D1BC" w:rsidR="005454F8" w:rsidRPr="00FF3F8B" w:rsidRDefault="005454F8" w:rsidP="005454F8">
      <w:pPr>
        <w:jc w:val="both"/>
        <w:rPr>
          <w:rFonts w:ascii="Book Antiqua" w:hAnsi="Book Antiqua" w:cs="Arial"/>
          <w:sz w:val="24"/>
          <w:szCs w:val="24"/>
        </w:rPr>
      </w:pPr>
      <w:r w:rsidRPr="00FF3F8B">
        <w:rPr>
          <w:rFonts w:ascii="Book Antiqua" w:hAnsi="Book Antiqua" w:cs="Arial"/>
          <w:sz w:val="24"/>
          <w:szCs w:val="24"/>
        </w:rPr>
        <w:t>Rimane invece aperta la questione del rapporto con il Pio Albergo Trivulzio</w:t>
      </w:r>
      <w:r w:rsidRPr="00FF3F8B">
        <w:rPr>
          <w:rFonts w:ascii="Book Antiqua" w:hAnsi="Book Antiqua" w:cs="Arial"/>
          <w:bCs/>
          <w:sz w:val="24"/>
          <w:szCs w:val="24"/>
        </w:rPr>
        <w:t>, che è ancora proprietario della maggior parte degli stabili,</w:t>
      </w:r>
      <w:r w:rsidR="00BF1DD3">
        <w:rPr>
          <w:rFonts w:ascii="Book Antiqua" w:hAnsi="Book Antiqua" w:cs="Arial"/>
          <w:bCs/>
          <w:sz w:val="24"/>
          <w:szCs w:val="24"/>
        </w:rPr>
        <w:t xml:space="preserve"> </w:t>
      </w:r>
      <w:r w:rsidRPr="00FF3F8B">
        <w:rPr>
          <w:rFonts w:ascii="Book Antiqua" w:hAnsi="Book Antiqua" w:cs="Arial"/>
          <w:bCs/>
          <w:sz w:val="24"/>
          <w:szCs w:val="24"/>
        </w:rPr>
        <w:t xml:space="preserve">in particolare di quelli con caratteristiche più popolari, che sta continuando da molti mesi a rifiutare un confronto con le </w:t>
      </w:r>
      <w:r w:rsidR="0016404E">
        <w:rPr>
          <w:rFonts w:ascii="Book Antiqua" w:hAnsi="Book Antiqua" w:cs="Arial"/>
          <w:bCs/>
          <w:sz w:val="24"/>
          <w:szCs w:val="24"/>
        </w:rPr>
        <w:t>o</w:t>
      </w:r>
      <w:r w:rsidRPr="00FF3F8B">
        <w:rPr>
          <w:rFonts w:ascii="Book Antiqua" w:hAnsi="Book Antiqua" w:cs="Arial"/>
          <w:bCs/>
          <w:sz w:val="24"/>
          <w:szCs w:val="24"/>
        </w:rPr>
        <w:t xml:space="preserve">rganizzazioni </w:t>
      </w:r>
      <w:r w:rsidR="0016404E">
        <w:rPr>
          <w:rFonts w:ascii="Book Antiqua" w:hAnsi="Book Antiqua" w:cs="Arial"/>
          <w:bCs/>
          <w:sz w:val="24"/>
          <w:szCs w:val="24"/>
        </w:rPr>
        <w:t>s</w:t>
      </w:r>
      <w:r w:rsidRPr="00FF3F8B">
        <w:rPr>
          <w:rFonts w:ascii="Book Antiqua" w:hAnsi="Book Antiqua" w:cs="Arial"/>
          <w:bCs/>
          <w:sz w:val="24"/>
          <w:szCs w:val="24"/>
        </w:rPr>
        <w:t xml:space="preserve">indacali degli inquilini, a disattendere gli impegni inizialmente assunti </w:t>
      </w:r>
      <w:r w:rsidR="00786A99" w:rsidRPr="00FF3F8B">
        <w:rPr>
          <w:rFonts w:ascii="Book Antiqua" w:hAnsi="Book Antiqua" w:cs="Arial"/>
          <w:bCs/>
          <w:sz w:val="24"/>
          <w:szCs w:val="24"/>
        </w:rPr>
        <w:t xml:space="preserve">in merito alla </w:t>
      </w:r>
      <w:r w:rsidRPr="00FF3F8B">
        <w:rPr>
          <w:rFonts w:ascii="Book Antiqua" w:hAnsi="Book Antiqua" w:cs="Arial"/>
          <w:bCs/>
          <w:sz w:val="24"/>
          <w:szCs w:val="24"/>
        </w:rPr>
        <w:t xml:space="preserve">sospensione delle procedure di sfratto, a non fornire  informazioni ai </w:t>
      </w:r>
      <w:r w:rsidR="0016404E">
        <w:rPr>
          <w:rFonts w:ascii="Book Antiqua" w:hAnsi="Book Antiqua" w:cs="Arial"/>
          <w:bCs/>
          <w:sz w:val="24"/>
          <w:szCs w:val="24"/>
        </w:rPr>
        <w:t>s</w:t>
      </w:r>
      <w:r w:rsidRPr="00FF3F8B">
        <w:rPr>
          <w:rFonts w:ascii="Book Antiqua" w:hAnsi="Book Antiqua" w:cs="Arial"/>
          <w:bCs/>
          <w:sz w:val="24"/>
          <w:szCs w:val="24"/>
        </w:rPr>
        <w:t xml:space="preserve">indacati e agli </w:t>
      </w:r>
      <w:r w:rsidR="0016404E">
        <w:rPr>
          <w:rFonts w:ascii="Book Antiqua" w:hAnsi="Book Antiqua" w:cs="Arial"/>
          <w:bCs/>
          <w:sz w:val="24"/>
          <w:szCs w:val="24"/>
        </w:rPr>
        <w:t>i</w:t>
      </w:r>
      <w:r w:rsidRPr="00FF3F8B">
        <w:rPr>
          <w:rFonts w:ascii="Book Antiqua" w:hAnsi="Book Antiqua" w:cs="Arial"/>
          <w:bCs/>
          <w:sz w:val="24"/>
          <w:szCs w:val="24"/>
        </w:rPr>
        <w:t>nquilini su quanto st</w:t>
      </w:r>
      <w:r w:rsidR="00405969" w:rsidRPr="00FF3F8B">
        <w:rPr>
          <w:rFonts w:ascii="Book Antiqua" w:hAnsi="Book Antiqua" w:cs="Arial"/>
          <w:bCs/>
          <w:sz w:val="24"/>
          <w:szCs w:val="24"/>
        </w:rPr>
        <w:t>ia</w:t>
      </w:r>
      <w:r w:rsidRPr="00FF3F8B">
        <w:rPr>
          <w:rFonts w:ascii="Book Antiqua" w:hAnsi="Book Antiqua" w:cs="Arial"/>
          <w:bCs/>
          <w:sz w:val="24"/>
          <w:szCs w:val="24"/>
        </w:rPr>
        <w:t xml:space="preserve"> avvenendo nel suo patrimonio abitativo e  lasciando gli stabili in un livello inaccettabile di carenza </w:t>
      </w:r>
      <w:r w:rsidR="00405969" w:rsidRPr="00FF3F8B">
        <w:rPr>
          <w:rFonts w:ascii="Book Antiqua" w:hAnsi="Book Antiqua" w:cs="Arial"/>
          <w:bCs/>
          <w:sz w:val="24"/>
          <w:szCs w:val="24"/>
        </w:rPr>
        <w:t>manutentiva e</w:t>
      </w:r>
      <w:r w:rsidRPr="00FF3F8B">
        <w:rPr>
          <w:rFonts w:ascii="Book Antiqua" w:hAnsi="Book Antiqua" w:cs="Arial"/>
          <w:bCs/>
          <w:sz w:val="24"/>
          <w:szCs w:val="24"/>
        </w:rPr>
        <w:t xml:space="preserve"> inefficienza gestionale.</w:t>
      </w:r>
    </w:p>
    <w:p w14:paraId="0913EDB5" w14:textId="7C9875EB" w:rsidR="00A603E1" w:rsidRPr="00FF3F8B" w:rsidRDefault="00BA26BA" w:rsidP="00BA26BA">
      <w:pPr>
        <w:jc w:val="both"/>
        <w:rPr>
          <w:rFonts w:ascii="Book Antiqua" w:hAnsi="Book Antiqua" w:cs="Arial"/>
          <w:sz w:val="24"/>
          <w:szCs w:val="24"/>
        </w:rPr>
      </w:pPr>
      <w:r w:rsidRPr="00FF3F8B">
        <w:rPr>
          <w:rFonts w:ascii="Book Antiqua" w:hAnsi="Book Antiqua" w:cs="Arial"/>
          <w:bCs/>
          <w:sz w:val="24"/>
          <w:szCs w:val="24"/>
        </w:rPr>
        <w:t xml:space="preserve">Chiediamo </w:t>
      </w:r>
      <w:r w:rsidR="006E1CAB" w:rsidRPr="00FF3F8B">
        <w:rPr>
          <w:rFonts w:ascii="Book Antiqua" w:hAnsi="Book Antiqua" w:cs="Arial"/>
          <w:bCs/>
          <w:sz w:val="24"/>
          <w:szCs w:val="24"/>
        </w:rPr>
        <w:t>al PAT</w:t>
      </w:r>
      <w:r w:rsidRPr="00FF3F8B">
        <w:rPr>
          <w:rFonts w:ascii="Book Antiqua" w:hAnsi="Book Antiqua" w:cs="Arial"/>
          <w:bCs/>
          <w:sz w:val="24"/>
          <w:szCs w:val="24"/>
        </w:rPr>
        <w:t>,</w:t>
      </w:r>
      <w:r w:rsidR="006E1CAB" w:rsidRPr="00FF3F8B">
        <w:rPr>
          <w:rFonts w:ascii="Book Antiqua" w:hAnsi="Book Antiqua" w:cs="Arial"/>
          <w:bCs/>
          <w:sz w:val="24"/>
          <w:szCs w:val="24"/>
        </w:rPr>
        <w:t xml:space="preserve"> al</w:t>
      </w:r>
      <w:r w:rsidR="00E81856" w:rsidRPr="00FF3F8B">
        <w:rPr>
          <w:rFonts w:ascii="Book Antiqua" w:hAnsi="Book Antiqua" w:cs="Arial"/>
          <w:bCs/>
          <w:sz w:val="24"/>
          <w:szCs w:val="24"/>
        </w:rPr>
        <w:t xml:space="preserve"> suo</w:t>
      </w:r>
      <w:r w:rsidR="00DD14A9" w:rsidRPr="00FF3F8B">
        <w:rPr>
          <w:rFonts w:ascii="Book Antiqua" w:hAnsi="Book Antiqua" w:cs="Arial"/>
          <w:bCs/>
          <w:sz w:val="24"/>
          <w:szCs w:val="24"/>
        </w:rPr>
        <w:t xml:space="preserve"> </w:t>
      </w:r>
      <w:r w:rsidRPr="00FF3F8B">
        <w:rPr>
          <w:rFonts w:ascii="Book Antiqua" w:hAnsi="Book Antiqua" w:cs="Arial"/>
          <w:bCs/>
          <w:sz w:val="24"/>
          <w:szCs w:val="24"/>
        </w:rPr>
        <w:t>C</w:t>
      </w:r>
      <w:r w:rsidR="006E1CAB" w:rsidRPr="00FF3F8B">
        <w:rPr>
          <w:rFonts w:ascii="Book Antiqua" w:hAnsi="Book Antiqua" w:cs="Arial"/>
          <w:bCs/>
          <w:sz w:val="24"/>
          <w:szCs w:val="24"/>
        </w:rPr>
        <w:t>ommissario Avv.</w:t>
      </w:r>
      <w:r w:rsidR="00E81856" w:rsidRPr="00FF3F8B">
        <w:rPr>
          <w:rFonts w:ascii="Book Antiqua" w:hAnsi="Book Antiqua" w:cs="Arial"/>
          <w:bCs/>
          <w:sz w:val="24"/>
          <w:szCs w:val="24"/>
        </w:rPr>
        <w:t xml:space="preserve"> Paolo Francesco</w:t>
      </w:r>
      <w:r w:rsidR="00FF3F8B">
        <w:rPr>
          <w:rFonts w:ascii="Book Antiqua" w:hAnsi="Book Antiqua" w:cs="Arial"/>
          <w:bCs/>
          <w:sz w:val="24"/>
          <w:szCs w:val="24"/>
        </w:rPr>
        <w:t xml:space="preserve"> </w:t>
      </w:r>
      <w:r w:rsidR="00E81856" w:rsidRPr="00FF3F8B">
        <w:rPr>
          <w:rFonts w:ascii="Book Antiqua" w:hAnsi="Book Antiqua" w:cs="Arial"/>
          <w:bCs/>
          <w:sz w:val="24"/>
          <w:szCs w:val="24"/>
        </w:rPr>
        <w:t xml:space="preserve">Tronca </w:t>
      </w:r>
      <w:r w:rsidRPr="00FF3F8B">
        <w:rPr>
          <w:rFonts w:ascii="Book Antiqua" w:hAnsi="Book Antiqua" w:cs="Arial"/>
          <w:bCs/>
          <w:sz w:val="24"/>
          <w:szCs w:val="24"/>
        </w:rPr>
        <w:t>e a Regione di invertire la rotta</w:t>
      </w:r>
      <w:r w:rsidR="0016404E">
        <w:rPr>
          <w:rFonts w:ascii="Book Antiqua" w:hAnsi="Book Antiqua" w:cs="Arial"/>
          <w:bCs/>
          <w:sz w:val="24"/>
          <w:szCs w:val="24"/>
        </w:rPr>
        <w:t xml:space="preserve"> e</w:t>
      </w:r>
      <w:r w:rsidRPr="00FF3F8B">
        <w:rPr>
          <w:rFonts w:ascii="Book Antiqua" w:hAnsi="Book Antiqua" w:cs="Arial"/>
          <w:bCs/>
          <w:sz w:val="24"/>
          <w:szCs w:val="24"/>
        </w:rPr>
        <w:t xml:space="preserve"> aprire un tavolo di </w:t>
      </w:r>
      <w:r w:rsidR="0029542F" w:rsidRPr="00FF3F8B">
        <w:rPr>
          <w:rFonts w:ascii="Book Antiqua" w:hAnsi="Book Antiqua" w:cs="Arial"/>
          <w:bCs/>
          <w:sz w:val="24"/>
          <w:szCs w:val="24"/>
        </w:rPr>
        <w:t>trattativa</w:t>
      </w:r>
      <w:r w:rsidR="00DD14A9" w:rsidRPr="00FF3F8B">
        <w:rPr>
          <w:rFonts w:ascii="Book Antiqua" w:hAnsi="Book Antiqua" w:cs="Arial"/>
          <w:bCs/>
          <w:sz w:val="24"/>
          <w:szCs w:val="24"/>
        </w:rPr>
        <w:t xml:space="preserve"> con le organizzazioni sindacali, a partire dal </w:t>
      </w:r>
      <w:r w:rsidRPr="00FF3F8B">
        <w:rPr>
          <w:rFonts w:ascii="Book Antiqua" w:hAnsi="Book Antiqua" w:cs="Arial"/>
          <w:bCs/>
          <w:sz w:val="24"/>
          <w:szCs w:val="24"/>
        </w:rPr>
        <w:t xml:space="preserve"> rinnovo dei contratti di affitto degli stabili non conferiti. Diversamente </w:t>
      </w:r>
      <w:r w:rsidR="0016404E">
        <w:rPr>
          <w:rFonts w:ascii="Book Antiqua" w:hAnsi="Book Antiqua" w:cs="Arial"/>
          <w:bCs/>
          <w:sz w:val="24"/>
          <w:szCs w:val="24"/>
        </w:rPr>
        <w:t>i sindacati</w:t>
      </w:r>
      <w:r w:rsidR="00FF3F8B" w:rsidRPr="00FF3F8B">
        <w:rPr>
          <w:rFonts w:ascii="Book Antiqua" w:hAnsi="Book Antiqua" w:cs="Arial"/>
          <w:bCs/>
          <w:sz w:val="24"/>
          <w:szCs w:val="24"/>
        </w:rPr>
        <w:t>, insieme al coordinamento dei comitati inquilini degli stabili PAT</w:t>
      </w:r>
      <w:r w:rsidRPr="00FF3F8B">
        <w:rPr>
          <w:rFonts w:ascii="Book Antiqua" w:hAnsi="Book Antiqua" w:cs="Arial"/>
          <w:bCs/>
          <w:sz w:val="24"/>
          <w:szCs w:val="24"/>
        </w:rPr>
        <w:t xml:space="preserve"> proseguiranno le loro </w:t>
      </w:r>
      <w:r w:rsidR="00E81856" w:rsidRPr="00FF3F8B">
        <w:rPr>
          <w:rFonts w:ascii="Book Antiqua" w:hAnsi="Book Antiqua" w:cs="Arial"/>
          <w:sz w:val="24"/>
          <w:szCs w:val="24"/>
        </w:rPr>
        <w:t>mobilitazioni</w:t>
      </w:r>
      <w:r w:rsidRPr="00FF3F8B">
        <w:rPr>
          <w:rFonts w:ascii="Book Antiqua" w:hAnsi="Book Antiqua" w:cs="Arial"/>
          <w:sz w:val="24"/>
          <w:szCs w:val="24"/>
        </w:rPr>
        <w:t xml:space="preserve"> ed iniziative</w:t>
      </w:r>
      <w:r w:rsidR="0016404E">
        <w:rPr>
          <w:rFonts w:ascii="Book Antiqua" w:hAnsi="Book Antiqua" w:cs="Arial"/>
          <w:sz w:val="24"/>
          <w:szCs w:val="24"/>
        </w:rPr>
        <w:t>.</w:t>
      </w:r>
    </w:p>
    <w:p w14:paraId="5C930075" w14:textId="126241A8" w:rsidR="00E81856" w:rsidRPr="0016404E" w:rsidRDefault="00E81856" w:rsidP="00BA26BA">
      <w:pPr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16404E">
        <w:rPr>
          <w:rFonts w:ascii="Book Antiqua" w:hAnsi="Book Antiqua" w:cs="Arial"/>
          <w:b/>
          <w:bCs/>
          <w:sz w:val="24"/>
          <w:szCs w:val="24"/>
        </w:rPr>
        <w:t>Per il SUNIA</w:t>
      </w:r>
      <w:r w:rsidR="0016404E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Pr="0016404E">
        <w:rPr>
          <w:rFonts w:ascii="Book Antiqua" w:hAnsi="Book Antiqua" w:cs="Arial"/>
          <w:b/>
          <w:bCs/>
          <w:sz w:val="24"/>
          <w:szCs w:val="24"/>
        </w:rPr>
        <w:t>- Carmelo Benenti -</w:t>
      </w:r>
      <w:r w:rsidR="00611D1E" w:rsidRPr="0016404E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Pr="0016404E">
        <w:rPr>
          <w:rFonts w:ascii="Book Antiqua" w:hAnsi="Book Antiqua" w:cs="Arial"/>
          <w:b/>
          <w:bCs/>
          <w:sz w:val="24"/>
          <w:szCs w:val="24"/>
        </w:rPr>
        <w:t>segretario generale</w:t>
      </w:r>
      <w:r w:rsidR="00611D1E" w:rsidRPr="0016404E">
        <w:rPr>
          <w:rFonts w:ascii="Book Antiqua" w:hAnsi="Book Antiqua" w:cs="Arial"/>
          <w:b/>
          <w:bCs/>
          <w:sz w:val="24"/>
          <w:szCs w:val="24"/>
        </w:rPr>
        <w:t>, tel.</w:t>
      </w:r>
      <w:r w:rsidRPr="0016404E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611D1E" w:rsidRPr="0016404E">
        <w:rPr>
          <w:rFonts w:ascii="Book Antiqua" w:hAnsi="Book Antiqua" w:cs="Arial"/>
          <w:b/>
          <w:bCs/>
          <w:sz w:val="24"/>
          <w:szCs w:val="24"/>
        </w:rPr>
        <w:t>3339399836</w:t>
      </w:r>
    </w:p>
    <w:p w14:paraId="0E858231" w14:textId="77777777" w:rsidR="00E81856" w:rsidRPr="0016404E" w:rsidRDefault="00E81856" w:rsidP="00BA26BA">
      <w:pPr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16404E">
        <w:rPr>
          <w:rFonts w:ascii="Book Antiqua" w:hAnsi="Book Antiqua" w:cs="Arial"/>
          <w:b/>
          <w:bCs/>
          <w:sz w:val="24"/>
          <w:szCs w:val="24"/>
        </w:rPr>
        <w:t xml:space="preserve">Per </w:t>
      </w:r>
      <w:r w:rsidR="00611D1E" w:rsidRPr="0016404E">
        <w:rPr>
          <w:rFonts w:ascii="Book Antiqua" w:hAnsi="Book Antiqua" w:cs="Arial"/>
          <w:b/>
          <w:bCs/>
          <w:sz w:val="24"/>
          <w:szCs w:val="24"/>
        </w:rPr>
        <w:t>il SICET- Marco Bistolfi - segretario</w:t>
      </w:r>
      <w:r w:rsidRPr="0016404E">
        <w:rPr>
          <w:rFonts w:ascii="Book Antiqua" w:hAnsi="Book Antiqua" w:cs="Arial"/>
          <w:b/>
          <w:bCs/>
          <w:sz w:val="24"/>
          <w:szCs w:val="24"/>
        </w:rPr>
        <w:t xml:space="preserve"> territoriale</w:t>
      </w:r>
      <w:r w:rsidR="00611D1E" w:rsidRPr="0016404E">
        <w:rPr>
          <w:rFonts w:ascii="Book Antiqua" w:hAnsi="Book Antiqua" w:cs="Arial"/>
          <w:b/>
          <w:bCs/>
          <w:sz w:val="24"/>
          <w:szCs w:val="24"/>
        </w:rPr>
        <w:t>, tel. 3394070848</w:t>
      </w:r>
    </w:p>
    <w:p w14:paraId="32E044AE" w14:textId="5E7D83F3" w:rsidR="00E81856" w:rsidRPr="0016404E" w:rsidRDefault="00E81856" w:rsidP="00BA26BA">
      <w:pPr>
        <w:jc w:val="both"/>
        <w:rPr>
          <w:rFonts w:ascii="Book Antiqua" w:hAnsi="Book Antiqua" w:cs="Arial"/>
          <w:b/>
          <w:bCs/>
          <w:sz w:val="24"/>
          <w:szCs w:val="24"/>
        </w:rPr>
      </w:pPr>
      <w:r w:rsidRPr="0016404E">
        <w:rPr>
          <w:rFonts w:ascii="Book Antiqua" w:hAnsi="Book Antiqua" w:cs="Arial"/>
          <w:b/>
          <w:bCs/>
          <w:sz w:val="24"/>
          <w:szCs w:val="24"/>
        </w:rPr>
        <w:t>Per l’Unione Inquilini</w:t>
      </w:r>
      <w:r w:rsidR="0016404E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Pr="0016404E">
        <w:rPr>
          <w:rFonts w:ascii="Book Antiqua" w:hAnsi="Book Antiqua" w:cs="Arial"/>
          <w:b/>
          <w:bCs/>
          <w:sz w:val="24"/>
          <w:szCs w:val="24"/>
        </w:rPr>
        <w:t>- Bruno Cattoli-</w:t>
      </w:r>
      <w:r w:rsidR="00611D1E" w:rsidRPr="0016404E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Pr="0016404E">
        <w:rPr>
          <w:rFonts w:ascii="Book Antiqua" w:hAnsi="Book Antiqua" w:cs="Arial"/>
          <w:b/>
          <w:bCs/>
          <w:sz w:val="24"/>
          <w:szCs w:val="24"/>
        </w:rPr>
        <w:t>segretario generale</w:t>
      </w:r>
      <w:r w:rsidR="00611D1E" w:rsidRPr="0016404E">
        <w:rPr>
          <w:rFonts w:ascii="Book Antiqua" w:hAnsi="Book Antiqua" w:cs="Arial"/>
          <w:b/>
          <w:bCs/>
          <w:sz w:val="24"/>
          <w:szCs w:val="24"/>
        </w:rPr>
        <w:t>, tel. 3296588913</w:t>
      </w:r>
    </w:p>
    <w:sectPr w:rsidR="00E81856" w:rsidRPr="0016404E" w:rsidSect="004D216E">
      <w:pgSz w:w="11906" w:h="16838"/>
      <w:pgMar w:top="1418" w:right="1134" w:bottom="1134" w:left="1134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5E514" w14:textId="77777777" w:rsidR="007F3F0D" w:rsidRDefault="007F3F0D" w:rsidP="0008115A">
      <w:pPr>
        <w:spacing w:after="0" w:line="240" w:lineRule="auto"/>
      </w:pPr>
      <w:r>
        <w:separator/>
      </w:r>
    </w:p>
  </w:endnote>
  <w:endnote w:type="continuationSeparator" w:id="0">
    <w:p w14:paraId="15DB6DD7" w14:textId="77777777" w:rsidR="007F3F0D" w:rsidRDefault="007F3F0D" w:rsidP="0008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CD36B" w14:textId="77777777" w:rsidR="007F3F0D" w:rsidRDefault="007F3F0D" w:rsidP="0008115A">
      <w:pPr>
        <w:spacing w:after="0" w:line="240" w:lineRule="auto"/>
      </w:pPr>
      <w:r>
        <w:separator/>
      </w:r>
    </w:p>
  </w:footnote>
  <w:footnote w:type="continuationSeparator" w:id="0">
    <w:p w14:paraId="733CFFF6" w14:textId="77777777" w:rsidR="007F3F0D" w:rsidRDefault="007F3F0D" w:rsidP="00081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44C2"/>
    <w:multiLevelType w:val="hybridMultilevel"/>
    <w:tmpl w:val="E660B77C"/>
    <w:lvl w:ilvl="0" w:tplc="3E1C1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C6D44"/>
    <w:multiLevelType w:val="hybridMultilevel"/>
    <w:tmpl w:val="3C529152"/>
    <w:lvl w:ilvl="0" w:tplc="C4EE99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E159A"/>
    <w:multiLevelType w:val="hybridMultilevel"/>
    <w:tmpl w:val="C5EA1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054283">
    <w:abstractNumId w:val="1"/>
  </w:num>
  <w:num w:numId="2" w16cid:durableId="897208860">
    <w:abstractNumId w:val="0"/>
  </w:num>
  <w:num w:numId="3" w16cid:durableId="1007755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96"/>
    <w:rsid w:val="00016CBB"/>
    <w:rsid w:val="000319EC"/>
    <w:rsid w:val="00061505"/>
    <w:rsid w:val="0008115A"/>
    <w:rsid w:val="000B6776"/>
    <w:rsid w:val="000C3004"/>
    <w:rsid w:val="000D4D95"/>
    <w:rsid w:val="00120456"/>
    <w:rsid w:val="0012557A"/>
    <w:rsid w:val="00130F58"/>
    <w:rsid w:val="0016404E"/>
    <w:rsid w:val="001841FF"/>
    <w:rsid w:val="001C332C"/>
    <w:rsid w:val="001F7460"/>
    <w:rsid w:val="00232F85"/>
    <w:rsid w:val="0029542F"/>
    <w:rsid w:val="00322704"/>
    <w:rsid w:val="00330D2F"/>
    <w:rsid w:val="00370908"/>
    <w:rsid w:val="0038399A"/>
    <w:rsid w:val="003C2BDD"/>
    <w:rsid w:val="003D3C77"/>
    <w:rsid w:val="003D5AC4"/>
    <w:rsid w:val="003F0342"/>
    <w:rsid w:val="00405969"/>
    <w:rsid w:val="0041016D"/>
    <w:rsid w:val="00443B78"/>
    <w:rsid w:val="004775A3"/>
    <w:rsid w:val="004914B8"/>
    <w:rsid w:val="004D216E"/>
    <w:rsid w:val="004E2386"/>
    <w:rsid w:val="0052130B"/>
    <w:rsid w:val="005354DC"/>
    <w:rsid w:val="005454F8"/>
    <w:rsid w:val="00565983"/>
    <w:rsid w:val="00582769"/>
    <w:rsid w:val="0058569D"/>
    <w:rsid w:val="00585D31"/>
    <w:rsid w:val="005A292D"/>
    <w:rsid w:val="005C1F0A"/>
    <w:rsid w:val="00611D1E"/>
    <w:rsid w:val="00612287"/>
    <w:rsid w:val="00655780"/>
    <w:rsid w:val="00667EC2"/>
    <w:rsid w:val="006A1ECB"/>
    <w:rsid w:val="006B787F"/>
    <w:rsid w:val="006C553F"/>
    <w:rsid w:val="006E1CAB"/>
    <w:rsid w:val="006F143F"/>
    <w:rsid w:val="00702839"/>
    <w:rsid w:val="007359C1"/>
    <w:rsid w:val="007661C1"/>
    <w:rsid w:val="00786A99"/>
    <w:rsid w:val="007A124F"/>
    <w:rsid w:val="007A4D36"/>
    <w:rsid w:val="007E24F4"/>
    <w:rsid w:val="007E7510"/>
    <w:rsid w:val="007F3F0D"/>
    <w:rsid w:val="007F6A9B"/>
    <w:rsid w:val="008019E6"/>
    <w:rsid w:val="00812802"/>
    <w:rsid w:val="00846C99"/>
    <w:rsid w:val="008518A1"/>
    <w:rsid w:val="008576B5"/>
    <w:rsid w:val="008633DC"/>
    <w:rsid w:val="00891AC1"/>
    <w:rsid w:val="00894902"/>
    <w:rsid w:val="008A1BA1"/>
    <w:rsid w:val="008B2B96"/>
    <w:rsid w:val="008B78CA"/>
    <w:rsid w:val="008D389E"/>
    <w:rsid w:val="008E1A6F"/>
    <w:rsid w:val="009410F1"/>
    <w:rsid w:val="0094420C"/>
    <w:rsid w:val="00960A6B"/>
    <w:rsid w:val="0098276C"/>
    <w:rsid w:val="009979F1"/>
    <w:rsid w:val="009C6DCB"/>
    <w:rsid w:val="009F39D6"/>
    <w:rsid w:val="00A11309"/>
    <w:rsid w:val="00A256EC"/>
    <w:rsid w:val="00A440DF"/>
    <w:rsid w:val="00A50A17"/>
    <w:rsid w:val="00A603E1"/>
    <w:rsid w:val="00A62615"/>
    <w:rsid w:val="00A66296"/>
    <w:rsid w:val="00A72762"/>
    <w:rsid w:val="00A901F5"/>
    <w:rsid w:val="00AB7FCB"/>
    <w:rsid w:val="00AD0D05"/>
    <w:rsid w:val="00AD5700"/>
    <w:rsid w:val="00AE3D17"/>
    <w:rsid w:val="00AE4722"/>
    <w:rsid w:val="00B2506C"/>
    <w:rsid w:val="00B33A82"/>
    <w:rsid w:val="00B628D7"/>
    <w:rsid w:val="00B669A5"/>
    <w:rsid w:val="00B87DF4"/>
    <w:rsid w:val="00BA26BA"/>
    <w:rsid w:val="00BA4D3B"/>
    <w:rsid w:val="00BC59DB"/>
    <w:rsid w:val="00BD44C4"/>
    <w:rsid w:val="00BF1DD3"/>
    <w:rsid w:val="00C21274"/>
    <w:rsid w:val="00C31046"/>
    <w:rsid w:val="00C512E5"/>
    <w:rsid w:val="00C87A86"/>
    <w:rsid w:val="00C9137E"/>
    <w:rsid w:val="00C93A95"/>
    <w:rsid w:val="00C94A47"/>
    <w:rsid w:val="00CF261B"/>
    <w:rsid w:val="00D261B8"/>
    <w:rsid w:val="00D46E5D"/>
    <w:rsid w:val="00D629F7"/>
    <w:rsid w:val="00D700E6"/>
    <w:rsid w:val="00D97434"/>
    <w:rsid w:val="00DB11D0"/>
    <w:rsid w:val="00DD14A9"/>
    <w:rsid w:val="00E01EE3"/>
    <w:rsid w:val="00E02EC3"/>
    <w:rsid w:val="00E24B12"/>
    <w:rsid w:val="00E7345A"/>
    <w:rsid w:val="00E81856"/>
    <w:rsid w:val="00EA1614"/>
    <w:rsid w:val="00EA2D6A"/>
    <w:rsid w:val="00EA3DE3"/>
    <w:rsid w:val="00EA543C"/>
    <w:rsid w:val="00EA73B3"/>
    <w:rsid w:val="00EC6D85"/>
    <w:rsid w:val="00ED6D47"/>
    <w:rsid w:val="00ED7B2D"/>
    <w:rsid w:val="00F3417A"/>
    <w:rsid w:val="00F343E5"/>
    <w:rsid w:val="00F523BB"/>
    <w:rsid w:val="00F5644E"/>
    <w:rsid w:val="00F72DA1"/>
    <w:rsid w:val="00F744E8"/>
    <w:rsid w:val="00F75980"/>
    <w:rsid w:val="00F828D7"/>
    <w:rsid w:val="00F86B48"/>
    <w:rsid w:val="00FD1B78"/>
    <w:rsid w:val="00FE29DC"/>
    <w:rsid w:val="00FE7590"/>
    <w:rsid w:val="00FF3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E926B"/>
  <w15:docId w15:val="{EDB97D14-8834-47B5-B41D-15A456AA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0F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B96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D46E5D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D46E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C653C-2DBA-49C6-957C-204852CF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758</Words>
  <Characters>4220</Characters>
  <Application>Microsoft Office Word</Application>
  <DocSecurity>0</DocSecurity>
  <Lines>63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Mauro Cereda</cp:lastModifiedBy>
  <cp:revision>4</cp:revision>
  <cp:lastPrinted>2025-06-30T09:43:00Z</cp:lastPrinted>
  <dcterms:created xsi:type="dcterms:W3CDTF">2025-06-30T09:09:00Z</dcterms:created>
  <dcterms:modified xsi:type="dcterms:W3CDTF">2025-06-30T09:45:00Z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2024-03-18T07:11:59Z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5dee250f-bf2d-48fb-924e-2b8ebff3036a</vt:lpwstr>
  </property>
  <property fmtid="{D5CDD505-2E9C-101B-9397-08002B2CF9AE}" pid="8" name="MSIP_Label_5f5fe31f-9de1-4167-a753-111c0df8115f_ContentBits">
    <vt:lpwstr>0</vt:lpwstr>
  </property>
</Properties>
</file>